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BD7B" w14:textId="73D55DE6" w:rsidR="00F2714A" w:rsidRPr="00705338" w:rsidRDefault="00705338" w:rsidP="00705338">
      <w:pPr>
        <w:pStyle w:val="TitlePresseRelease"/>
        <w:rPr>
          <w:lang w:val="cs-CZ"/>
        </w:rPr>
      </w:pPr>
      <w:r w:rsidRPr="00705338">
        <w:rPr>
          <w:lang w:val="cs-CZ"/>
        </w:rPr>
        <w:t>ABB: vyšší ziskovost za nepříznivé situace na trzích</w:t>
      </w:r>
    </w:p>
    <w:p w14:paraId="5C393B59" w14:textId="77777777" w:rsidR="00110B0E" w:rsidRDefault="00110B0E" w:rsidP="00110B0E">
      <w:pPr>
        <w:pStyle w:val="Documenttitels"/>
        <w:rPr>
          <w:sz w:val="23"/>
          <w:szCs w:val="23"/>
        </w:rPr>
      </w:pPr>
    </w:p>
    <w:p w14:paraId="3903BF06" w14:textId="77777777" w:rsidR="00F2714A" w:rsidRPr="00110B0E" w:rsidRDefault="00705338" w:rsidP="00110B0E">
      <w:pPr>
        <w:pStyle w:val="Documenttitels"/>
        <w:rPr>
          <w:sz w:val="23"/>
          <w:szCs w:val="23"/>
        </w:rPr>
      </w:pPr>
      <w:r w:rsidRPr="00110B0E">
        <w:rPr>
          <w:sz w:val="23"/>
          <w:szCs w:val="23"/>
        </w:rPr>
        <w:t>Curych, Švýcarsko, 3. února 2016</w:t>
      </w:r>
    </w:p>
    <w:p w14:paraId="5FC40A84" w14:textId="77777777" w:rsidR="00705338" w:rsidRPr="00705338" w:rsidRDefault="00705338" w:rsidP="00110B0E">
      <w:pPr>
        <w:pStyle w:val="Documenttitels"/>
      </w:pPr>
    </w:p>
    <w:p w14:paraId="7ED452C6" w14:textId="77777777" w:rsidR="00705338" w:rsidRPr="00110B0E" w:rsidRDefault="00705338" w:rsidP="00705338">
      <w:pPr>
        <w:pStyle w:val="Odstavecseseznamem"/>
        <w:tabs>
          <w:tab w:val="left" w:pos="-3780"/>
        </w:tabs>
        <w:spacing w:after="40" w:line="252" w:lineRule="auto"/>
        <w:rPr>
          <w:rFonts w:cs="Arial"/>
          <w:b/>
          <w:sz w:val="24"/>
          <w:lang w:val="cs-CZ"/>
        </w:rPr>
      </w:pPr>
      <w:r w:rsidRPr="00110B0E">
        <w:rPr>
          <w:rFonts w:cs="Arial"/>
          <w:b/>
          <w:sz w:val="24"/>
          <w:lang w:val="cs-CZ"/>
        </w:rPr>
        <w:t>Souhrn výsledků za celý rok 2015</w:t>
      </w:r>
    </w:p>
    <w:p w14:paraId="32787A8E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Strategie Next Level přináší pozitivní výsledky</w:t>
      </w:r>
    </w:p>
    <w:p w14:paraId="5302608B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Příjem zakázek a tržby na setrvalé úrovni</w:t>
      </w:r>
      <w:r w:rsidRPr="00110B0E">
        <w:rPr>
          <w:rFonts w:cs="Arial"/>
          <w:sz w:val="23"/>
          <w:szCs w:val="23"/>
          <w:vertAlign w:val="superscript"/>
          <w:lang w:val="cs-CZ"/>
        </w:rPr>
        <w:t>1,2</w:t>
      </w:r>
      <w:r w:rsidRPr="00110B0E">
        <w:rPr>
          <w:rFonts w:cs="Arial"/>
          <w:sz w:val="23"/>
          <w:szCs w:val="23"/>
          <w:lang w:val="cs-CZ"/>
        </w:rPr>
        <w:t>, zásoba zakázek vzrostla o 5 %</w:t>
      </w:r>
      <w:r w:rsidRPr="00110B0E">
        <w:rPr>
          <w:rFonts w:cs="Arial"/>
          <w:sz w:val="23"/>
          <w:szCs w:val="23"/>
          <w:vertAlign w:val="superscript"/>
          <w:lang w:val="cs-CZ"/>
        </w:rPr>
        <w:t>1</w:t>
      </w:r>
    </w:p>
    <w:p w14:paraId="1D3E8EDD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Provozní zisková marže EBITA vzrostla o 0,6 procentního bodu na 11,8 %</w:t>
      </w:r>
    </w:p>
    <w:p w14:paraId="03FB6A03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Provozní zisk na akcii</w:t>
      </w:r>
      <w:r w:rsidRPr="00110B0E">
        <w:rPr>
          <w:rFonts w:cs="Arial"/>
          <w:sz w:val="23"/>
          <w:szCs w:val="23"/>
          <w:vertAlign w:val="superscript"/>
          <w:lang w:val="cs-CZ"/>
        </w:rPr>
        <w:t>2</w:t>
      </w:r>
      <w:r w:rsidRPr="00110B0E">
        <w:rPr>
          <w:rFonts w:cs="Arial"/>
          <w:sz w:val="23"/>
          <w:szCs w:val="23"/>
          <w:lang w:val="cs-CZ"/>
        </w:rPr>
        <w:t xml:space="preserve"> +5 % (na stálém měnovém základě)</w:t>
      </w:r>
    </w:p>
    <w:p w14:paraId="5F1EB1A1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Peněžní návratnost investovaného kapitálu</w:t>
      </w:r>
      <w:r w:rsidRPr="00110B0E">
        <w:rPr>
          <w:rFonts w:cs="Arial"/>
          <w:sz w:val="23"/>
          <w:szCs w:val="23"/>
          <w:vertAlign w:val="superscript"/>
          <w:lang w:val="cs-CZ"/>
        </w:rPr>
        <w:t>2</w:t>
      </w:r>
      <w:r w:rsidRPr="00110B0E">
        <w:rPr>
          <w:rFonts w:cs="Arial"/>
          <w:sz w:val="23"/>
          <w:szCs w:val="23"/>
          <w:lang w:val="cs-CZ"/>
        </w:rPr>
        <w:t xml:space="preserve"> vzrostla o 0,7 procentního bodu na 13,4 %, volný peněžní tok +16 %</w:t>
      </w:r>
      <w:r w:rsidRPr="00110B0E">
        <w:rPr>
          <w:rFonts w:cs="Arial"/>
          <w:sz w:val="23"/>
          <w:szCs w:val="23"/>
          <w:vertAlign w:val="superscript"/>
          <w:lang w:val="cs-CZ"/>
        </w:rPr>
        <w:t>2,3</w:t>
      </w:r>
    </w:p>
    <w:p w14:paraId="379164B3" w14:textId="678DEEFB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„Step change“</w:t>
      </w:r>
      <w:r w:rsidRPr="00110B0E">
        <w:rPr>
          <w:rFonts w:cs="Arial"/>
          <w:sz w:val="23"/>
          <w:szCs w:val="23"/>
          <w:vertAlign w:val="superscript"/>
          <w:lang w:val="cs-CZ"/>
        </w:rPr>
        <w:t>1</w:t>
      </w:r>
      <w:r w:rsidRPr="00110B0E">
        <w:rPr>
          <w:rFonts w:cs="Arial"/>
          <w:sz w:val="23"/>
          <w:szCs w:val="23"/>
          <w:lang w:val="cs-CZ"/>
        </w:rPr>
        <w:t xml:space="preserve"> </w:t>
      </w:r>
      <w:r w:rsidR="004E3313" w:rsidRPr="00110B0E">
        <w:rPr>
          <w:rFonts w:cs="Arial"/>
          <w:sz w:val="23"/>
          <w:szCs w:val="23"/>
          <w:lang w:val="cs-CZ"/>
        </w:rPr>
        <w:t xml:space="preserve">program </w:t>
      </w:r>
      <w:r w:rsidRPr="00110B0E">
        <w:rPr>
          <w:rFonts w:cs="Arial"/>
          <w:sz w:val="23"/>
          <w:szCs w:val="23"/>
          <w:lang w:val="cs-CZ"/>
        </w:rPr>
        <w:t xml:space="preserve">v divizi Systémy pro energetiku v roce 2015 </w:t>
      </w:r>
      <w:r w:rsidR="004E3313" w:rsidRPr="00110B0E">
        <w:rPr>
          <w:rFonts w:cs="Arial"/>
          <w:sz w:val="23"/>
          <w:szCs w:val="23"/>
          <w:lang w:val="cs-CZ"/>
        </w:rPr>
        <w:t>přinesl</w:t>
      </w:r>
      <w:r w:rsidRPr="00110B0E">
        <w:rPr>
          <w:rFonts w:cs="Arial"/>
          <w:sz w:val="23"/>
          <w:szCs w:val="23"/>
          <w:lang w:val="cs-CZ"/>
        </w:rPr>
        <w:t xml:space="preserve"> výrazné finanční zlepšení</w:t>
      </w:r>
    </w:p>
    <w:p w14:paraId="5FD1007D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Je navrženo sedmé zvýšení dividendy v řadě na 0,74 CHF</w:t>
      </w:r>
    </w:p>
    <w:p w14:paraId="700CB6F7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Čtyři noví členové představenstva navrženi na zvolení na příští výroční valné hromadě</w:t>
      </w:r>
    </w:p>
    <w:p w14:paraId="32D40FBA" w14:textId="77777777" w:rsidR="00705338" w:rsidRPr="00705338" w:rsidRDefault="00705338" w:rsidP="00705338">
      <w:pPr>
        <w:pStyle w:val="Odstavecseseznamem"/>
        <w:tabs>
          <w:tab w:val="left" w:pos="-3780"/>
        </w:tabs>
        <w:spacing w:after="40" w:line="252" w:lineRule="auto"/>
        <w:rPr>
          <w:rFonts w:cs="Arial"/>
          <w:sz w:val="24"/>
          <w:lang w:val="cs-CZ"/>
        </w:rPr>
      </w:pPr>
    </w:p>
    <w:p w14:paraId="0C6C1EED" w14:textId="77777777" w:rsidR="00705338" w:rsidRPr="00110B0E" w:rsidRDefault="00705338" w:rsidP="00705338">
      <w:pPr>
        <w:pStyle w:val="Odstavecseseznamem"/>
        <w:tabs>
          <w:tab w:val="left" w:pos="-3780"/>
        </w:tabs>
        <w:spacing w:after="40" w:line="252" w:lineRule="auto"/>
        <w:rPr>
          <w:rFonts w:cs="Arial"/>
          <w:b/>
          <w:sz w:val="24"/>
          <w:lang w:val="cs-CZ"/>
        </w:rPr>
      </w:pPr>
      <w:r w:rsidRPr="00110B0E">
        <w:rPr>
          <w:rFonts w:cs="Arial"/>
          <w:b/>
          <w:sz w:val="24"/>
          <w:lang w:val="cs-CZ"/>
        </w:rPr>
        <w:t>Souhrn výsledků 4. čtvrtletí 2015</w:t>
      </w:r>
    </w:p>
    <w:p w14:paraId="2AEB2119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Příjem zakázek (-2 %) odráží nepříznivou situaci na trhu, základní zakázky -6 %</w:t>
      </w:r>
    </w:p>
    <w:p w14:paraId="19617C00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Provozní zisková marže EBITA vzrostla o 0,6 procentního bodu na 11,7 %</w:t>
      </w:r>
    </w:p>
    <w:p w14:paraId="4BDEBD27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Divize Systémy pro energetiku dosáhla cílového rozmezí marže, strategické posouzení portfolia divize Energetika probíhá podle plánu</w:t>
      </w:r>
    </w:p>
    <w:p w14:paraId="3B0B6100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Urychlená opatření na zvýšení produktivity a snížení nákladů u technicko-hospodářských pracovníků, optimalizace dodavatelského řetězce a provozních činností</w:t>
      </w:r>
    </w:p>
    <w:p w14:paraId="3E95230E" w14:textId="60FA4A1B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 xml:space="preserve">Čistý zisk 204 miliony USD, </w:t>
      </w:r>
      <w:r w:rsidR="004E3313" w:rsidRPr="00110B0E">
        <w:rPr>
          <w:rFonts w:cs="Arial"/>
          <w:sz w:val="23"/>
          <w:szCs w:val="23"/>
          <w:lang w:val="cs-CZ"/>
        </w:rPr>
        <w:t>zahrnující</w:t>
      </w:r>
      <w:r w:rsidRPr="00110B0E">
        <w:rPr>
          <w:rFonts w:cs="Arial"/>
          <w:sz w:val="23"/>
          <w:szCs w:val="23"/>
          <w:lang w:val="cs-CZ"/>
        </w:rPr>
        <w:t xml:space="preserve"> náklad</w:t>
      </w:r>
      <w:r w:rsidR="004E3313" w:rsidRPr="00110B0E">
        <w:rPr>
          <w:rFonts w:cs="Arial"/>
          <w:sz w:val="23"/>
          <w:szCs w:val="23"/>
          <w:lang w:val="cs-CZ"/>
        </w:rPr>
        <w:t>y</w:t>
      </w:r>
      <w:r w:rsidRPr="00110B0E">
        <w:rPr>
          <w:rFonts w:cs="Arial"/>
          <w:sz w:val="23"/>
          <w:szCs w:val="23"/>
          <w:lang w:val="cs-CZ"/>
        </w:rPr>
        <w:t xml:space="preserve"> na r</w:t>
      </w:r>
      <w:r w:rsidR="004E3313" w:rsidRPr="00110B0E">
        <w:rPr>
          <w:rFonts w:cs="Arial"/>
          <w:sz w:val="23"/>
          <w:szCs w:val="23"/>
          <w:lang w:val="cs-CZ"/>
        </w:rPr>
        <w:t>estrukturalizaci a související</w:t>
      </w:r>
      <w:r w:rsidRPr="00110B0E">
        <w:rPr>
          <w:rFonts w:cs="Arial"/>
          <w:sz w:val="23"/>
          <w:szCs w:val="23"/>
          <w:lang w:val="cs-CZ"/>
        </w:rPr>
        <w:t xml:space="preserve"> náklad</w:t>
      </w:r>
      <w:r w:rsidR="004E3313" w:rsidRPr="00110B0E">
        <w:rPr>
          <w:rFonts w:cs="Arial"/>
          <w:sz w:val="23"/>
          <w:szCs w:val="23"/>
          <w:lang w:val="cs-CZ"/>
        </w:rPr>
        <w:t>y</w:t>
      </w:r>
      <w:r w:rsidRPr="00110B0E">
        <w:rPr>
          <w:rFonts w:cs="Arial"/>
          <w:sz w:val="23"/>
          <w:szCs w:val="23"/>
          <w:lang w:val="cs-CZ"/>
        </w:rPr>
        <w:t xml:space="preserve"> v celkové výši 496 milionů USD</w:t>
      </w:r>
    </w:p>
    <w:p w14:paraId="7A6E92B2" w14:textId="77777777" w:rsidR="00705338" w:rsidRPr="00110B0E" w:rsidRDefault="00705338" w:rsidP="00705338">
      <w:pPr>
        <w:pStyle w:val="Odstavecseseznamem"/>
        <w:numPr>
          <w:ilvl w:val="0"/>
          <w:numId w:val="5"/>
        </w:numPr>
        <w:tabs>
          <w:tab w:val="left" w:pos="-3780"/>
        </w:tabs>
        <w:spacing w:after="40" w:line="252" w:lineRule="auto"/>
        <w:rPr>
          <w:rFonts w:cs="Arial"/>
          <w:sz w:val="23"/>
          <w:szCs w:val="23"/>
          <w:lang w:val="cs-CZ"/>
        </w:rPr>
      </w:pPr>
      <w:r w:rsidRPr="00110B0E">
        <w:rPr>
          <w:rFonts w:cs="Arial"/>
          <w:sz w:val="23"/>
          <w:szCs w:val="23"/>
          <w:lang w:val="cs-CZ"/>
        </w:rPr>
        <w:t>Peněžní tok z provozních činností +18 %</w:t>
      </w:r>
      <w:r w:rsidRPr="00110B0E">
        <w:rPr>
          <w:rFonts w:cs="Arial"/>
          <w:sz w:val="23"/>
          <w:szCs w:val="23"/>
          <w:vertAlign w:val="superscript"/>
          <w:lang w:val="cs-CZ"/>
        </w:rPr>
        <w:t>3</w:t>
      </w:r>
    </w:p>
    <w:p w14:paraId="7EFEA2DB" w14:textId="77777777" w:rsidR="00705338" w:rsidRDefault="00705338" w:rsidP="00F2714A">
      <w:pPr>
        <w:pStyle w:val="Zkladntext"/>
        <w:tabs>
          <w:tab w:val="left" w:pos="3210"/>
        </w:tabs>
        <w:spacing w:line="280" w:lineRule="exact"/>
        <w:rPr>
          <w:rFonts w:cs="Arial"/>
          <w:color w:val="auto"/>
          <w:sz w:val="20"/>
          <w:szCs w:val="20"/>
          <w:lang w:val="cs-CZ"/>
        </w:rPr>
      </w:pPr>
    </w:p>
    <w:p w14:paraId="144DA9D3" w14:textId="77777777" w:rsidR="00377FDC" w:rsidRDefault="00377FDC" w:rsidP="00F2714A">
      <w:pPr>
        <w:pStyle w:val="Zkladntext"/>
        <w:tabs>
          <w:tab w:val="left" w:pos="3210"/>
        </w:tabs>
        <w:spacing w:line="280" w:lineRule="exact"/>
        <w:rPr>
          <w:rFonts w:cs="Arial"/>
          <w:color w:val="auto"/>
          <w:sz w:val="22"/>
          <w:szCs w:val="22"/>
          <w:lang w:val="cs-CZ"/>
        </w:rPr>
      </w:pPr>
    </w:p>
    <w:p w14:paraId="09BAB6DB" w14:textId="77777777" w:rsidR="00705338" w:rsidRPr="00377FDC" w:rsidRDefault="00705338" w:rsidP="00F2714A">
      <w:pPr>
        <w:pStyle w:val="Zkladntext"/>
        <w:tabs>
          <w:tab w:val="left" w:pos="3210"/>
        </w:tabs>
        <w:spacing w:line="280" w:lineRule="exact"/>
        <w:rPr>
          <w:rFonts w:cs="Arial"/>
          <w:color w:val="auto"/>
          <w:sz w:val="22"/>
          <w:szCs w:val="22"/>
          <w:lang w:val="cs-CZ"/>
        </w:rPr>
      </w:pPr>
      <w:r w:rsidRPr="00377FDC">
        <w:rPr>
          <w:rFonts w:cs="Arial"/>
          <w:color w:val="auto"/>
          <w:sz w:val="22"/>
          <w:szCs w:val="22"/>
          <w:lang w:val="cs-CZ"/>
        </w:rPr>
        <w:t>Finanční výsledky za 4. čtvrtletí a celý rok 2015 jsou ovlivněné měnovými převody v důsledku výrazného zhodnocení amerického dolaru.</w:t>
      </w:r>
    </w:p>
    <w:p w14:paraId="5B059672" w14:textId="68D37C1F" w:rsidR="00F2714A" w:rsidRPr="00377FDC" w:rsidRDefault="00F2714A" w:rsidP="00F2714A">
      <w:pPr>
        <w:pStyle w:val="Zkladntext"/>
        <w:tabs>
          <w:tab w:val="left" w:pos="3210"/>
        </w:tabs>
        <w:spacing w:line="280" w:lineRule="exact"/>
        <w:rPr>
          <w:rFonts w:cs="Arial"/>
          <w:color w:val="auto"/>
          <w:sz w:val="22"/>
          <w:szCs w:val="22"/>
          <w:lang w:val="cs-CZ"/>
        </w:rPr>
      </w:pPr>
    </w:p>
    <w:p w14:paraId="006977AC" w14:textId="77777777" w:rsidR="00705338" w:rsidRPr="00377FDC" w:rsidRDefault="00705338" w:rsidP="00705338">
      <w:pPr>
        <w:pStyle w:val="Zkladntext"/>
        <w:spacing w:before="40" w:line="300" w:lineRule="exact"/>
        <w:rPr>
          <w:rFonts w:cs="Arial"/>
          <w:sz w:val="22"/>
          <w:szCs w:val="22"/>
          <w:lang w:val="cs-CZ"/>
        </w:rPr>
      </w:pPr>
      <w:r w:rsidRPr="00377FDC">
        <w:rPr>
          <w:rFonts w:cs="Arial"/>
          <w:sz w:val="22"/>
          <w:szCs w:val="22"/>
          <w:lang w:val="cs-CZ"/>
        </w:rPr>
        <w:t>„Uskutečnili jsme rozhodné kroky k posílení našeho zaměření na zákazníka a v cílových segmentech dosáhli ziskového růstu, abychom zmírnili výrazný nepříznivý vliv trhu. Zároveň jsme zjednodušili naši organizaci, zvýšili produktivitu a urychlili snižování nákladů,“ uvedl generální ředitel ABB Group Ulrich Spiesshofer. „V důsledku toho jsme zvýšili marži a volný peněžní tok. Úspěšný obrat v divizi Systémy pro energetiku dokazuje naši schopnost zvyšovat produktivitu a naše zaměření na udržitelnou tvorbu hodnoty. Díky silnému finančnímu postavení a racionálnější organizaci, která je více zaměřena na trh, se těšíme dobrému výchozímu postavení, abychom se vyrovnali s nejistým vývojem ve světě, který bude v roce 2016 pokračovat.“</w:t>
      </w:r>
    </w:p>
    <w:p w14:paraId="6920B64E" w14:textId="77777777" w:rsidR="00705338" w:rsidRDefault="00705338" w:rsidP="00705338">
      <w:pPr>
        <w:pStyle w:val="Zkladntext"/>
        <w:spacing w:before="40" w:line="300" w:lineRule="exact"/>
        <w:rPr>
          <w:rFonts w:cs="Arial"/>
          <w:sz w:val="20"/>
          <w:szCs w:val="20"/>
          <w:lang w:val="cs-CZ"/>
        </w:rPr>
      </w:pPr>
    </w:p>
    <w:p w14:paraId="26FED0B7" w14:textId="77777777" w:rsidR="00705338" w:rsidRDefault="00705338" w:rsidP="00705338">
      <w:pPr>
        <w:pStyle w:val="Zkladntext"/>
        <w:spacing w:before="40" w:line="300" w:lineRule="exact"/>
        <w:rPr>
          <w:rFonts w:cs="Arial"/>
          <w:sz w:val="20"/>
          <w:szCs w:val="20"/>
          <w:lang w:val="cs-CZ"/>
        </w:rPr>
      </w:pPr>
    </w:p>
    <w:p w14:paraId="1899C071" w14:textId="77777777" w:rsidR="00705338" w:rsidRDefault="00705338" w:rsidP="00705338">
      <w:pPr>
        <w:pStyle w:val="Zkladntext"/>
        <w:spacing w:before="40" w:line="300" w:lineRule="exact"/>
        <w:rPr>
          <w:rFonts w:cs="Arial"/>
          <w:sz w:val="20"/>
          <w:szCs w:val="20"/>
          <w:lang w:val="cs-CZ"/>
        </w:rPr>
      </w:pPr>
    </w:p>
    <w:p w14:paraId="5D787F39" w14:textId="77777777" w:rsidR="00705338" w:rsidRDefault="00705338" w:rsidP="00705338">
      <w:pPr>
        <w:pStyle w:val="Zkladntext"/>
        <w:spacing w:before="40" w:line="300" w:lineRule="exact"/>
        <w:rPr>
          <w:rFonts w:cs="Arial"/>
          <w:sz w:val="20"/>
          <w:szCs w:val="20"/>
          <w:lang w:val="cs-CZ"/>
        </w:rPr>
      </w:pPr>
    </w:p>
    <w:p w14:paraId="72B5952E" w14:textId="77777777" w:rsidR="00705338" w:rsidRDefault="00705338" w:rsidP="00705338">
      <w:pPr>
        <w:pStyle w:val="Zkladntext"/>
        <w:spacing w:before="40" w:line="300" w:lineRule="exact"/>
        <w:rPr>
          <w:rFonts w:cs="Arial"/>
          <w:sz w:val="20"/>
          <w:szCs w:val="20"/>
          <w:lang w:val="cs-CZ"/>
        </w:rPr>
      </w:pPr>
    </w:p>
    <w:p w14:paraId="3B28FFFF" w14:textId="77777777" w:rsidR="00705338" w:rsidRDefault="00705338" w:rsidP="00705338">
      <w:pPr>
        <w:pStyle w:val="Zkladntext"/>
        <w:spacing w:before="40" w:line="300" w:lineRule="exact"/>
        <w:rPr>
          <w:rFonts w:cs="Arial"/>
          <w:sz w:val="20"/>
          <w:szCs w:val="20"/>
          <w:lang w:val="cs-CZ"/>
        </w:rPr>
      </w:pPr>
    </w:p>
    <w:p w14:paraId="2EF19DE6" w14:textId="77777777" w:rsidR="00F2714A" w:rsidRPr="00705338" w:rsidRDefault="00F2714A" w:rsidP="00110B0E">
      <w:pPr>
        <w:pStyle w:val="Documenttitels"/>
      </w:pPr>
      <w:r w:rsidRPr="00705338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9695B9" wp14:editId="7AFAA79B">
                <wp:simplePos x="0" y="0"/>
                <wp:positionH relativeFrom="column">
                  <wp:posOffset>-24765</wp:posOffset>
                </wp:positionH>
                <wp:positionV relativeFrom="paragraph">
                  <wp:posOffset>178064</wp:posOffset>
                </wp:positionV>
                <wp:extent cx="6425565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9C1A6" id="Straight Connector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4pt" to="7in,14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" strokecolor="black [3213]" strokeweight=".5pt"/>
            </w:pict>
          </mc:Fallback>
        </mc:AlternateContent>
      </w:r>
    </w:p>
    <w:tbl>
      <w:tblPr>
        <w:tblpPr w:leftFromText="180" w:rightFromText="180" w:vertAnchor="text" w:tblpX="2" w:tblpY="1"/>
        <w:tblOverlap w:val="never"/>
        <w:tblW w:w="5000" w:type="pct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4477"/>
        <w:gridCol w:w="1336"/>
        <w:gridCol w:w="470"/>
        <w:gridCol w:w="800"/>
        <w:gridCol w:w="431"/>
        <w:gridCol w:w="655"/>
        <w:gridCol w:w="478"/>
        <w:gridCol w:w="909"/>
        <w:gridCol w:w="367"/>
      </w:tblGrid>
      <w:tr w:rsidR="00A251C1" w:rsidRPr="00705338" w14:paraId="1F840290" w14:textId="77777777" w:rsidTr="00A251C1">
        <w:trPr>
          <w:gridAfter w:val="1"/>
          <w:wAfter w:w="185" w:type="pct"/>
          <w:trHeight w:val="410"/>
        </w:trPr>
        <w:tc>
          <w:tcPr>
            <w:tcW w:w="2256" w:type="pct"/>
            <w:tcBorders>
              <w:left w:val="nil"/>
            </w:tcBorders>
            <w:shd w:val="clear" w:color="auto" w:fill="auto"/>
            <w:vAlign w:val="center"/>
          </w:tcPr>
          <w:p w14:paraId="0278C119" w14:textId="77777777" w:rsidR="00377FDC" w:rsidRDefault="00377FDC" w:rsidP="00A251C1">
            <w:pPr>
              <w:rPr>
                <w:color w:val="005ADE" w:themeColor="accent1"/>
                <w:sz w:val="36"/>
                <w:lang w:val="cs-CZ"/>
              </w:rPr>
            </w:pPr>
          </w:p>
          <w:p w14:paraId="0643463E" w14:textId="77777777" w:rsidR="00A251C1" w:rsidRDefault="00A251C1" w:rsidP="00A251C1">
            <w:pPr>
              <w:rPr>
                <w:color w:val="005ADE" w:themeColor="accent1"/>
                <w:sz w:val="36"/>
                <w:lang w:val="cs-CZ"/>
              </w:rPr>
            </w:pPr>
            <w:bookmarkStart w:id="0" w:name="_GoBack"/>
            <w:bookmarkEnd w:id="0"/>
            <w:r w:rsidRPr="00A251C1">
              <w:rPr>
                <w:color w:val="005ADE" w:themeColor="accent1"/>
                <w:sz w:val="36"/>
                <w:lang w:val="cs-CZ"/>
              </w:rPr>
              <w:t xml:space="preserve">Finanční ukazatele za </w:t>
            </w:r>
          </w:p>
          <w:p w14:paraId="5DEA6927" w14:textId="77777777" w:rsidR="00A251C1" w:rsidRPr="00A251C1" w:rsidRDefault="00A251C1" w:rsidP="00A251C1">
            <w:pPr>
              <w:rPr>
                <w:color w:val="005ADE" w:themeColor="accent1"/>
                <w:sz w:val="36"/>
                <w:lang w:val="cs-CZ"/>
              </w:rPr>
            </w:pPr>
            <w:r w:rsidRPr="00A251C1">
              <w:rPr>
                <w:color w:val="005ADE" w:themeColor="accent1"/>
                <w:sz w:val="36"/>
                <w:lang w:val="cs-CZ"/>
              </w:rPr>
              <w:t>4. čtvrtletí 2015</w:t>
            </w:r>
          </w:p>
          <w:p w14:paraId="04D0D297" w14:textId="77777777" w:rsidR="00A251C1" w:rsidRPr="00705338" w:rsidRDefault="00A251C1" w:rsidP="00B6251C">
            <w:pPr>
              <w:jc w:val="center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24"/>
                <w:lang w:val="cs-CZ"/>
              </w:rPr>
            </w:pPr>
          </w:p>
        </w:tc>
        <w:tc>
          <w:tcPr>
            <w:tcW w:w="91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BA107" w14:textId="77777777" w:rsidR="00A251C1" w:rsidRPr="00705338" w:rsidRDefault="00A251C1" w:rsidP="00B6251C">
            <w:pPr>
              <w:jc w:val="center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vAlign w:val="center"/>
          </w:tcPr>
          <w:p w14:paraId="56CD6FE5" w14:textId="77777777" w:rsidR="00A251C1" w:rsidRPr="00705338" w:rsidRDefault="00A251C1" w:rsidP="00B6251C">
            <w:pPr>
              <w:jc w:val="center"/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246" w:type="pct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24A82AE" w14:textId="77777777" w:rsidR="00A251C1" w:rsidRPr="00705338" w:rsidRDefault="00A251C1" w:rsidP="00B6251C">
            <w:pPr>
              <w:jc w:val="center"/>
              <w:rPr>
                <w:rFonts w:ascii="ABB Neue Helvetica Medium" w:hAnsi="ABB Neue Helvetica Medium" w:cs="Arial"/>
                <w:bCs/>
                <w:i/>
                <w:sz w:val="16"/>
                <w:szCs w:val="16"/>
                <w:lang w:val="cs-CZ"/>
              </w:rPr>
            </w:pPr>
            <w:r>
              <w:rPr>
                <w:rFonts w:ascii="ABB Neue Helvetica Medium" w:hAnsi="ABB Neue Helvetica Medium" w:cs="Arial"/>
                <w:bCs/>
                <w:i/>
                <w:sz w:val="16"/>
                <w:szCs w:val="16"/>
                <w:lang w:val="cs-CZ"/>
              </w:rPr>
              <w:t>Změna</w:t>
            </w:r>
          </w:p>
        </w:tc>
      </w:tr>
      <w:tr w:rsidR="00B72538" w:rsidRPr="00705338" w14:paraId="2E022280" w14:textId="77777777" w:rsidTr="00B72538">
        <w:trPr>
          <w:trHeight w:val="410"/>
        </w:trPr>
        <w:tc>
          <w:tcPr>
            <w:tcW w:w="2256" w:type="pc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26630E61" w14:textId="77777777" w:rsidR="00F2714A" w:rsidRPr="00705338" w:rsidRDefault="00740EC1" w:rsidP="00740EC1">
            <w:pPr>
              <w:spacing w:line="240" w:lineRule="auto"/>
              <w:rPr>
                <w:rFonts w:cs="Arial"/>
                <w:color w:val="000000"/>
                <w:sz w:val="12"/>
                <w:szCs w:val="12"/>
                <w:lang w:val="cs-CZ"/>
              </w:rPr>
            </w:pPr>
            <w:r w:rsidRPr="00740EC1">
              <w:rPr>
                <w:rFonts w:cs="Arial"/>
                <w:iCs/>
                <w:color w:val="000000"/>
                <w:sz w:val="12"/>
                <w:szCs w:val="12"/>
                <w:lang w:val="cs-CZ"/>
              </w:rPr>
              <w:t>v milionech USD, pokud není uvedeno jinak</w:t>
            </w:r>
            <w:r w:rsidRPr="00705338">
              <w:rPr>
                <w:rFonts w:cs="Arial"/>
                <w:iCs/>
                <w:color w:val="000000"/>
                <w:sz w:val="12"/>
                <w:szCs w:val="12"/>
                <w:lang w:val="cs-CZ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auto"/>
            </w:tcBorders>
            <w:shd w:val="clear" w:color="000000" w:fill="C5DCFF" w:themeFill="accent1" w:themeFillTint="33"/>
            <w:vAlign w:val="center"/>
          </w:tcPr>
          <w:p w14:paraId="412B5E54" w14:textId="77777777" w:rsidR="00A251C1" w:rsidRPr="00A251C1" w:rsidRDefault="00A251C1" w:rsidP="00A251C1">
            <w:pPr>
              <w:jc w:val="right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  <w:r w:rsidRPr="00A251C1"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  <w:t>Čtvrté</w:t>
            </w:r>
          </w:p>
          <w:p w14:paraId="37CE941C" w14:textId="77777777" w:rsidR="00F2714A" w:rsidRPr="00A251C1" w:rsidRDefault="00A251C1" w:rsidP="00A251C1">
            <w:pPr>
              <w:jc w:val="right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  <w:r w:rsidRPr="00A251C1"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  <w:t>čtvrtletí 2015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14B69D" w14:textId="77777777" w:rsidR="00A251C1" w:rsidRPr="00A251C1" w:rsidRDefault="00A251C1" w:rsidP="00A251C1">
            <w:pPr>
              <w:jc w:val="right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  <w:r w:rsidRPr="00A251C1"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  <w:t>Čtvrté</w:t>
            </w:r>
          </w:p>
          <w:p w14:paraId="34AE609B" w14:textId="77777777" w:rsidR="00F2714A" w:rsidRPr="00705338" w:rsidRDefault="00A251C1" w:rsidP="00A251C1">
            <w:pPr>
              <w:jc w:val="right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  <w:r w:rsidRPr="00A251C1"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  <w:t>čtvrtletí 2014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0BCDD4C" w14:textId="77777777" w:rsidR="00F2714A" w:rsidRPr="00705338" w:rsidRDefault="00F2714A" w:rsidP="00EE6C9F">
            <w:pPr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826EED" w14:textId="77777777" w:rsidR="00F2714A" w:rsidRPr="00705338" w:rsidRDefault="00F2714A" w:rsidP="00A251C1">
            <w:pPr>
              <w:ind w:left="-107"/>
              <w:jc w:val="right"/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</w:pPr>
            <w:r w:rsidRPr="00705338"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  <w:t>US</w:t>
            </w:r>
            <w:r w:rsidR="00A251C1"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  <w:t>D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E62410" w14:textId="7660E943" w:rsidR="00F2714A" w:rsidRPr="00705338" w:rsidRDefault="00A251C1" w:rsidP="00A251C1">
            <w:pPr>
              <w:ind w:left="-107"/>
              <w:jc w:val="right"/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</w:pPr>
            <w:r w:rsidRPr="00A251C1"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  <w:t>Srovnatelné vyjádření</w:t>
            </w:r>
          </w:p>
        </w:tc>
      </w:tr>
      <w:tr w:rsidR="00B72538" w:rsidRPr="00705338" w14:paraId="1246758D" w14:textId="77777777" w:rsidTr="00B72538">
        <w:trPr>
          <w:trHeight w:val="340"/>
        </w:trPr>
        <w:tc>
          <w:tcPr>
            <w:tcW w:w="2256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2F2542E" w14:textId="77777777" w:rsidR="00F2714A" w:rsidRPr="00705338" w:rsidRDefault="00740EC1" w:rsidP="00EE6C9F">
            <w:pPr>
              <w:rPr>
                <w:rFonts w:cs="Arial"/>
                <w:sz w:val="18"/>
                <w:szCs w:val="16"/>
                <w:lang w:val="cs-CZ"/>
              </w:rPr>
            </w:pPr>
            <w:r w:rsidRPr="00740EC1">
              <w:rPr>
                <w:rFonts w:cs="Arial"/>
                <w:sz w:val="18"/>
                <w:szCs w:val="16"/>
                <w:lang w:val="cs-CZ"/>
              </w:rPr>
              <w:t>Příjem zakázek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shd w:val="clear" w:color="000000" w:fill="C5DCFF" w:themeFill="accent1" w:themeFillTint="33"/>
            <w:vAlign w:val="center"/>
          </w:tcPr>
          <w:p w14:paraId="45942DB8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8 262</w:t>
            </w:r>
          </w:p>
        </w:tc>
        <w:tc>
          <w:tcPr>
            <w:tcW w:w="64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AAD0D8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9 365</w:t>
            </w:r>
          </w:p>
        </w:tc>
        <w:tc>
          <w:tcPr>
            <w:tcW w:w="21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41AE8FB" w14:textId="77777777" w:rsidR="00F2714A" w:rsidRPr="00705338" w:rsidRDefault="00F2714A" w:rsidP="00EE6C9F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897FC" w14:textId="77777777" w:rsidR="00F2714A" w:rsidRPr="00705338" w:rsidRDefault="00A251C1" w:rsidP="00B72538">
            <w:pPr>
              <w:ind w:left="-102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-12 %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9B7E3B" w14:textId="77777777" w:rsidR="00F2714A" w:rsidRPr="00705338" w:rsidRDefault="00A251C1" w:rsidP="00B72538">
            <w:pPr>
              <w:ind w:left="-107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-2 %</w:t>
            </w:r>
          </w:p>
        </w:tc>
      </w:tr>
      <w:tr w:rsidR="00B72538" w:rsidRPr="00705338" w14:paraId="331E06EB" w14:textId="77777777" w:rsidTr="00B72538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34186D14" w14:textId="77777777" w:rsidR="00F2714A" w:rsidRPr="00740EC1" w:rsidRDefault="00740EC1" w:rsidP="00EE6C9F">
            <w:pPr>
              <w:rPr>
                <w:rFonts w:cs="Arial"/>
                <w:sz w:val="18"/>
                <w:szCs w:val="16"/>
                <w:lang w:val="cs-CZ"/>
              </w:rPr>
            </w:pPr>
            <w:r w:rsidRPr="00740EC1">
              <w:rPr>
                <w:rFonts w:cs="Arial"/>
                <w:sz w:val="18"/>
                <w:szCs w:val="16"/>
                <w:lang w:val="cs-CZ"/>
              </w:rPr>
              <w:t>Tržby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000000" w:fill="C5DCFF" w:themeFill="accent1" w:themeFillTint="33"/>
            <w:vAlign w:val="center"/>
          </w:tcPr>
          <w:p w14:paraId="281D5D5A" w14:textId="77777777" w:rsidR="00F2714A" w:rsidRPr="00A251C1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9 242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930B4F" w14:textId="77777777" w:rsidR="00F2714A" w:rsidRPr="00A251C1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10 346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257F5B" w14:textId="77777777" w:rsidR="00F2714A" w:rsidRPr="00A251C1" w:rsidRDefault="00F2714A" w:rsidP="00EE6C9F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93C5F6" w14:textId="77777777" w:rsidR="00F2714A" w:rsidRPr="00A251C1" w:rsidRDefault="00A251C1" w:rsidP="00B72538">
            <w:pPr>
              <w:ind w:left="-102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-11 %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1E4A87" w14:textId="77777777" w:rsidR="00F2714A" w:rsidRPr="00A251C1" w:rsidRDefault="00A251C1" w:rsidP="00B72538">
            <w:pPr>
              <w:ind w:left="-107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-1 %</w:t>
            </w:r>
          </w:p>
        </w:tc>
      </w:tr>
      <w:tr w:rsidR="00B72538" w:rsidRPr="00705338" w14:paraId="2CAFB97E" w14:textId="77777777" w:rsidTr="00B72538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1FC321A" w14:textId="77777777" w:rsidR="00F2714A" w:rsidRPr="00705338" w:rsidRDefault="00740EC1" w:rsidP="000603CC">
            <w:pPr>
              <w:rPr>
                <w:rFonts w:cs="Arial"/>
                <w:sz w:val="18"/>
                <w:szCs w:val="16"/>
                <w:lang w:val="cs-CZ"/>
              </w:rPr>
            </w:pPr>
            <w:r w:rsidRPr="00740EC1">
              <w:rPr>
                <w:rFonts w:cs="Arial"/>
                <w:sz w:val="18"/>
                <w:szCs w:val="16"/>
                <w:lang w:val="cs-CZ"/>
              </w:rPr>
              <w:t>Provozní zisk EBITA</w:t>
            </w:r>
          </w:p>
        </w:tc>
        <w:tc>
          <w:tcPr>
            <w:tcW w:w="673" w:type="pct"/>
            <w:tcBorders>
              <w:top w:val="single" w:sz="4" w:space="0" w:color="auto"/>
              <w:bottom w:val="dotted" w:sz="4" w:space="0" w:color="auto"/>
            </w:tcBorders>
            <w:shd w:val="clear" w:color="000000" w:fill="C5DCFF" w:themeFill="accent1" w:themeFillTint="33"/>
            <w:vAlign w:val="center"/>
          </w:tcPr>
          <w:p w14:paraId="631AC2EB" w14:textId="77777777" w:rsidR="00F2714A" w:rsidRPr="00A251C1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1 081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B4A969" w14:textId="77777777" w:rsidR="00F2714A" w:rsidRPr="00A251C1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1 153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D3D42B" w14:textId="77777777" w:rsidR="00F2714A" w:rsidRPr="00A251C1" w:rsidRDefault="00F2714A" w:rsidP="00EE6C9F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7F6A35" w14:textId="77777777" w:rsidR="00F2714A" w:rsidRPr="00A251C1" w:rsidRDefault="00A251C1" w:rsidP="00B72538">
            <w:pPr>
              <w:ind w:left="-102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-6 %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1A655F" w14:textId="77777777" w:rsidR="00F2714A" w:rsidRPr="00A251C1" w:rsidRDefault="00A251C1" w:rsidP="00B72538">
            <w:pPr>
              <w:ind w:left="-107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+1 %</w:t>
            </w:r>
          </w:p>
        </w:tc>
      </w:tr>
      <w:tr w:rsidR="00B72538" w:rsidRPr="00705338" w14:paraId="1ED8A738" w14:textId="77777777" w:rsidTr="00B72538">
        <w:trPr>
          <w:trHeight w:val="340"/>
        </w:trPr>
        <w:tc>
          <w:tcPr>
            <w:tcW w:w="2256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6BD14A" w14:textId="7EE1B383" w:rsidR="00F2714A" w:rsidRPr="00705338" w:rsidRDefault="00740EC1" w:rsidP="00740EC1">
            <w:pPr>
              <w:rPr>
                <w:rFonts w:cs="Arial"/>
                <w:sz w:val="18"/>
                <w:szCs w:val="16"/>
                <w:lang w:val="cs-CZ"/>
              </w:rPr>
            </w:pPr>
            <w:r>
              <w:rPr>
                <w:rFonts w:cs="Arial"/>
                <w:sz w:val="18"/>
                <w:szCs w:val="16"/>
                <w:lang w:val="cs-CZ"/>
              </w:rPr>
              <w:t xml:space="preserve">     </w:t>
            </w:r>
            <w:r w:rsidRPr="00740EC1">
              <w:rPr>
                <w:rFonts w:cs="Arial"/>
                <w:sz w:val="18"/>
                <w:szCs w:val="16"/>
                <w:lang w:val="cs-CZ"/>
              </w:rPr>
              <w:t>vyjádřeno v % z provozních tržeb</w:t>
            </w:r>
          </w:p>
        </w:tc>
        <w:tc>
          <w:tcPr>
            <w:tcW w:w="673" w:type="pct"/>
            <w:tcBorders>
              <w:top w:val="dotted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7F48FEC3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11,7 %</w:t>
            </w:r>
          </w:p>
        </w:tc>
        <w:tc>
          <w:tcPr>
            <w:tcW w:w="64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27AD9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11,1 %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FA1FD" w14:textId="77777777" w:rsidR="00F2714A" w:rsidRPr="00A251C1" w:rsidRDefault="00F2714A" w:rsidP="00EE6C9F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62181" w14:textId="33B09251" w:rsidR="00F2714A" w:rsidRPr="00A251C1" w:rsidRDefault="008E1F1B" w:rsidP="00B72538">
            <w:pPr>
              <w:ind w:left="-102"/>
              <w:jc w:val="right"/>
              <w:rPr>
                <w:rFonts w:cs="Arial"/>
                <w:sz w:val="18"/>
                <w:szCs w:val="16"/>
                <w:lang w:val="cs-CZ"/>
              </w:rPr>
            </w:pPr>
            <w:r>
              <w:rPr>
                <w:rFonts w:cs="Arial"/>
                <w:sz w:val="18"/>
                <w:szCs w:val="16"/>
                <w:lang w:val="cs-CZ"/>
              </w:rPr>
              <w:t>+</w:t>
            </w:r>
            <w:r w:rsidR="00A251C1" w:rsidRPr="00A251C1">
              <w:rPr>
                <w:rFonts w:cs="Arial"/>
                <w:sz w:val="18"/>
                <w:szCs w:val="16"/>
                <w:lang w:val="cs-CZ"/>
              </w:rPr>
              <w:t>0,6 % bodu</w:t>
            </w:r>
          </w:p>
        </w:tc>
        <w:tc>
          <w:tcPr>
            <w:tcW w:w="64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02D5A" w14:textId="77777777" w:rsidR="00F2714A" w:rsidRPr="00A251C1" w:rsidRDefault="00F2714A" w:rsidP="00B72538">
            <w:pPr>
              <w:ind w:left="-107"/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B72538" w:rsidRPr="00705338" w14:paraId="76D78EEA" w14:textId="77777777" w:rsidTr="00B72538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93DACB" w14:textId="77777777" w:rsidR="00F2714A" w:rsidRPr="00705338" w:rsidRDefault="00740EC1" w:rsidP="00EE6C9F">
            <w:pPr>
              <w:rPr>
                <w:rFonts w:cs="Arial"/>
                <w:sz w:val="18"/>
                <w:szCs w:val="16"/>
                <w:lang w:val="cs-CZ"/>
              </w:rPr>
            </w:pPr>
            <w:r w:rsidRPr="00740EC1">
              <w:rPr>
                <w:rFonts w:cs="Arial"/>
                <w:sz w:val="18"/>
                <w:szCs w:val="16"/>
                <w:lang w:val="cs-CZ"/>
              </w:rPr>
              <w:t>Čistý zisk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5B3D9A93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204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FEAEB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680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41A54" w14:textId="77777777" w:rsidR="00F2714A" w:rsidRPr="00A251C1" w:rsidRDefault="00F2714A" w:rsidP="00EE6C9F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2E401" w14:textId="77777777" w:rsidR="00F2714A" w:rsidRPr="00A251C1" w:rsidRDefault="00A251C1" w:rsidP="00B72538">
            <w:pPr>
              <w:ind w:left="-102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-70 %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1CBE3" w14:textId="77777777" w:rsidR="00F2714A" w:rsidRPr="00A251C1" w:rsidRDefault="00F2714A" w:rsidP="00B72538">
            <w:pPr>
              <w:ind w:left="-107"/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B72538" w:rsidRPr="00705338" w14:paraId="4BA9D7AF" w14:textId="77777777" w:rsidTr="00B72538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92A3D7" w14:textId="77777777" w:rsidR="00F2714A" w:rsidRPr="00705338" w:rsidRDefault="00740EC1" w:rsidP="00EE6C9F">
            <w:pPr>
              <w:rPr>
                <w:rFonts w:cs="Arial"/>
                <w:sz w:val="18"/>
                <w:szCs w:val="16"/>
                <w:lang w:val="cs-CZ"/>
              </w:rPr>
            </w:pPr>
            <w:r w:rsidRPr="00740EC1">
              <w:rPr>
                <w:rFonts w:cs="Arial"/>
                <w:sz w:val="18"/>
                <w:szCs w:val="16"/>
                <w:lang w:val="cs-CZ"/>
              </w:rPr>
              <w:t>Základní zisk na akcii (USD)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02A43A43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0,09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D6EE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0,30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16A50" w14:textId="77777777" w:rsidR="00F2714A" w:rsidRPr="00A251C1" w:rsidRDefault="00F2714A" w:rsidP="00EE6C9F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86797" w14:textId="77777777" w:rsidR="00F2714A" w:rsidRPr="00A251C1" w:rsidRDefault="00A251C1" w:rsidP="00B72538">
            <w:pPr>
              <w:ind w:left="-102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-69 %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ACE52" w14:textId="77777777" w:rsidR="00F2714A" w:rsidRPr="00A251C1" w:rsidRDefault="00F2714A" w:rsidP="00B72538">
            <w:pPr>
              <w:ind w:left="-107"/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B72538" w:rsidRPr="00705338" w14:paraId="4CF9A8A6" w14:textId="77777777" w:rsidTr="001F4447">
        <w:trPr>
          <w:trHeight w:val="272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C441BF" w14:textId="77777777" w:rsidR="00B72538" w:rsidRPr="00705338" w:rsidRDefault="00740EC1" w:rsidP="00740EC1">
            <w:pPr>
              <w:rPr>
                <w:rFonts w:cs="Arial"/>
                <w:sz w:val="18"/>
                <w:szCs w:val="16"/>
                <w:lang w:val="cs-CZ"/>
              </w:rPr>
            </w:pPr>
            <w:r w:rsidRPr="00740EC1">
              <w:rPr>
                <w:rFonts w:cs="Arial"/>
                <w:sz w:val="18"/>
                <w:szCs w:val="16"/>
                <w:lang w:val="cs-CZ"/>
              </w:rPr>
              <w:t>Provozní zisk na akcii</w:t>
            </w:r>
            <w:r w:rsidRPr="00740EC1">
              <w:rPr>
                <w:rFonts w:cs="Arial"/>
                <w:sz w:val="18"/>
                <w:szCs w:val="16"/>
                <w:vertAlign w:val="superscript"/>
                <w:lang w:val="cs-CZ"/>
              </w:rPr>
              <w:t>2</w:t>
            </w:r>
            <w:r w:rsidRPr="00740EC1">
              <w:rPr>
                <w:rFonts w:cs="Arial"/>
                <w:sz w:val="18"/>
                <w:szCs w:val="16"/>
                <w:lang w:val="cs-CZ"/>
              </w:rPr>
              <w:t xml:space="preserve"> (na stálém měnovém základě)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7D1B08CF" w14:textId="77777777" w:rsidR="00B72538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0,35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DF7E5" w14:textId="77777777" w:rsidR="00B72538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0,34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BC810" w14:textId="77777777" w:rsidR="00B72538" w:rsidRPr="00A251C1" w:rsidRDefault="00B72538" w:rsidP="00EE6C9F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6C64F" w14:textId="77777777" w:rsidR="00B72538" w:rsidRPr="00A251C1" w:rsidRDefault="00A251C1" w:rsidP="00B72538">
            <w:pPr>
              <w:ind w:left="-102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+4 %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29CE4" w14:textId="77777777" w:rsidR="00B72538" w:rsidRPr="00A251C1" w:rsidRDefault="00B72538" w:rsidP="00B72538">
            <w:pPr>
              <w:tabs>
                <w:tab w:val="left" w:pos="375"/>
              </w:tabs>
              <w:ind w:left="-107"/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B72538" w:rsidRPr="00705338" w14:paraId="10E329AA" w14:textId="77777777" w:rsidTr="001F4447">
        <w:trPr>
          <w:trHeight w:val="272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0C7CFA2" w14:textId="77777777" w:rsidR="00F2714A" w:rsidRPr="00705338" w:rsidRDefault="00740EC1" w:rsidP="00EE6C9F">
            <w:pPr>
              <w:rPr>
                <w:rFonts w:cs="Arial"/>
                <w:sz w:val="18"/>
                <w:szCs w:val="16"/>
                <w:lang w:val="cs-CZ"/>
              </w:rPr>
            </w:pPr>
            <w:r w:rsidRPr="00740EC1">
              <w:rPr>
                <w:rFonts w:cs="Arial"/>
                <w:sz w:val="18"/>
                <w:szCs w:val="16"/>
                <w:lang w:val="cs-CZ"/>
              </w:rPr>
              <w:t>Peněžní tok (cash flow) z provozních činností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C5DCFF" w:themeFill="accent1" w:themeFillTint="33"/>
            <w:vAlign w:val="center"/>
          </w:tcPr>
          <w:p w14:paraId="2C753FD6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1 994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1EC13F" w14:textId="77777777" w:rsidR="00F2714A" w:rsidRPr="00705338" w:rsidRDefault="00A251C1" w:rsidP="00EE6C9F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1 833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E852D3" w14:textId="77777777" w:rsidR="00F2714A" w:rsidRPr="00A251C1" w:rsidRDefault="00F2714A" w:rsidP="00EE6C9F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ABE2053" w14:textId="77777777" w:rsidR="00F2714A" w:rsidRPr="00A251C1" w:rsidRDefault="00A251C1" w:rsidP="00B72538">
            <w:pPr>
              <w:ind w:left="-102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+9 %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EAE86B" w14:textId="77777777" w:rsidR="00F2714A" w:rsidRPr="00A251C1" w:rsidRDefault="00A251C1" w:rsidP="00B72538">
            <w:pPr>
              <w:tabs>
                <w:tab w:val="left" w:pos="375"/>
              </w:tabs>
              <w:ind w:left="-107"/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A251C1">
              <w:rPr>
                <w:rFonts w:cs="Arial"/>
                <w:sz w:val="18"/>
                <w:szCs w:val="16"/>
                <w:lang w:val="cs-CZ"/>
              </w:rPr>
              <w:t>+18 %</w:t>
            </w:r>
            <w:r w:rsidRPr="00A251C1">
              <w:rPr>
                <w:rFonts w:cs="Arial"/>
                <w:sz w:val="18"/>
                <w:szCs w:val="16"/>
                <w:vertAlign w:val="superscript"/>
                <w:lang w:val="cs-CZ"/>
              </w:rPr>
              <w:t>3</w:t>
            </w:r>
          </w:p>
        </w:tc>
      </w:tr>
      <w:tr w:rsidR="000603CC" w:rsidRPr="00705338" w14:paraId="656DE20F" w14:textId="77777777" w:rsidTr="001F4447">
        <w:trPr>
          <w:gridAfter w:val="1"/>
          <w:wAfter w:w="185" w:type="pct"/>
          <w:trHeight w:val="272"/>
        </w:trPr>
        <w:tc>
          <w:tcPr>
            <w:tcW w:w="4116" w:type="pct"/>
            <w:gridSpan w:val="6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5C21B99" w14:textId="77777777" w:rsidR="00705338" w:rsidRPr="00705338" w:rsidRDefault="00705338" w:rsidP="00705338">
            <w:pPr>
              <w:rPr>
                <w:rFonts w:cs="Arial"/>
                <w:sz w:val="14"/>
                <w:szCs w:val="16"/>
                <w:lang w:val="cs-CZ"/>
              </w:rPr>
            </w:pPr>
            <w:r w:rsidRPr="00705338">
              <w:rPr>
                <w:rFonts w:cs="Arial"/>
                <w:sz w:val="14"/>
                <w:szCs w:val="16"/>
                <w:lang w:val="cs-CZ"/>
              </w:rPr>
              <w:t xml:space="preserve">1 Míra růstu zakázek, tržeb a zásoby zakázek ve srovnatelném vyjádření (upravené v místních měnách o akvizice a odprodeje). V tabulce finančních ukazatelů je uvedena míra růstu v USD. </w:t>
            </w:r>
          </w:p>
          <w:p w14:paraId="32A9A94E" w14:textId="35DBAE1C" w:rsidR="00705338" w:rsidRPr="00705338" w:rsidRDefault="006A6C01" w:rsidP="00705338">
            <w:pPr>
              <w:rPr>
                <w:rFonts w:cs="Arial"/>
                <w:sz w:val="14"/>
                <w:szCs w:val="16"/>
                <w:lang w:val="cs-CZ"/>
              </w:rPr>
            </w:pPr>
            <w:r>
              <w:rPr>
                <w:rFonts w:cs="Arial"/>
                <w:sz w:val="14"/>
                <w:szCs w:val="16"/>
                <w:lang w:val="cs-CZ"/>
              </w:rPr>
              <w:t xml:space="preserve">2 </w:t>
            </w:r>
            <w:r w:rsidRPr="006A6C01">
              <w:rPr>
                <w:rFonts w:cs="Arial"/>
                <w:sz w:val="14"/>
                <w:szCs w:val="16"/>
                <w:lang w:val="cs-CZ"/>
              </w:rPr>
              <w:t>Ověření položek uvedených nad rámec požadavků GAAP je možné v sekci „Supplemental Reconciliations and Definitions“ v připojené Finanční informaci týkající se Q4 2015</w:t>
            </w:r>
            <w:r>
              <w:rPr>
                <w:rFonts w:cs="Arial"/>
                <w:sz w:val="14"/>
                <w:szCs w:val="16"/>
                <w:lang w:val="cs-CZ"/>
              </w:rPr>
              <w:t>.</w:t>
            </w:r>
          </w:p>
          <w:p w14:paraId="31D0DE64" w14:textId="77777777" w:rsidR="00705338" w:rsidRPr="00705338" w:rsidRDefault="00705338" w:rsidP="00705338">
            <w:pPr>
              <w:rPr>
                <w:rFonts w:cs="Arial"/>
                <w:sz w:val="14"/>
                <w:szCs w:val="16"/>
                <w:lang w:val="cs-CZ"/>
              </w:rPr>
            </w:pPr>
            <w:r w:rsidRPr="00705338">
              <w:rPr>
                <w:rFonts w:cs="Arial"/>
                <w:sz w:val="14"/>
                <w:szCs w:val="16"/>
                <w:lang w:val="cs-CZ"/>
              </w:rPr>
              <w:t>3 Míra růstu volného peněžního toku se počítá na stálém měnovém základě (bez započítání vlivů změn v obchodním portfoliu).</w:t>
            </w:r>
          </w:p>
          <w:p w14:paraId="34F07FFD" w14:textId="77777777" w:rsidR="00705338" w:rsidRPr="00705338" w:rsidRDefault="00705338" w:rsidP="00705338">
            <w:pPr>
              <w:rPr>
                <w:rFonts w:cs="Arial"/>
                <w:iCs/>
                <w:sz w:val="18"/>
                <w:szCs w:val="16"/>
                <w:lang w:val="cs-CZ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6AE8B3" w14:textId="77777777" w:rsidR="000603CC" w:rsidRPr="00705338" w:rsidRDefault="000603CC" w:rsidP="00EE6C9F">
            <w:pPr>
              <w:tabs>
                <w:tab w:val="left" w:pos="375"/>
              </w:tabs>
              <w:jc w:val="right"/>
              <w:rPr>
                <w:rFonts w:cs="Arial"/>
                <w:iCs/>
                <w:sz w:val="18"/>
                <w:szCs w:val="16"/>
                <w:lang w:val="cs-CZ"/>
              </w:rPr>
            </w:pPr>
          </w:p>
        </w:tc>
      </w:tr>
    </w:tbl>
    <w:p w14:paraId="43863AC8" w14:textId="77777777" w:rsidR="00705338" w:rsidRDefault="00705338" w:rsidP="00B72538">
      <w:pPr>
        <w:pStyle w:val="Zkladntext"/>
        <w:spacing w:line="300" w:lineRule="exact"/>
        <w:rPr>
          <w:rFonts w:eastAsiaTheme="minorHAnsi" w:cstheme="minorBidi"/>
          <w:bCs/>
          <w:color w:val="002897" w:themeColor="text2"/>
          <w:spacing w:val="6"/>
          <w:sz w:val="28"/>
          <w:lang w:val="cs-CZ"/>
        </w:rPr>
      </w:pPr>
    </w:p>
    <w:p w14:paraId="0F89E2A0" w14:textId="77777777" w:rsidR="00A251C1" w:rsidRDefault="00A251C1" w:rsidP="00B72538">
      <w:pPr>
        <w:pStyle w:val="Zkladntext"/>
        <w:spacing w:line="300" w:lineRule="exact"/>
        <w:rPr>
          <w:rFonts w:eastAsiaTheme="minorHAnsi" w:cstheme="minorBidi"/>
          <w:bCs/>
          <w:color w:val="002897" w:themeColor="text2"/>
          <w:spacing w:val="6"/>
          <w:sz w:val="28"/>
          <w:lang w:val="cs-CZ"/>
        </w:rPr>
      </w:pPr>
    </w:p>
    <w:tbl>
      <w:tblPr>
        <w:tblpPr w:leftFromText="180" w:rightFromText="180" w:vertAnchor="text" w:tblpX="2" w:tblpY="1"/>
        <w:tblOverlap w:val="never"/>
        <w:tblW w:w="5000" w:type="pct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4477"/>
        <w:gridCol w:w="1336"/>
        <w:gridCol w:w="470"/>
        <w:gridCol w:w="800"/>
        <w:gridCol w:w="431"/>
        <w:gridCol w:w="655"/>
        <w:gridCol w:w="478"/>
        <w:gridCol w:w="909"/>
        <w:gridCol w:w="367"/>
      </w:tblGrid>
      <w:tr w:rsidR="00164ABA" w:rsidRPr="00705338" w14:paraId="1EE5C4CA" w14:textId="77777777" w:rsidTr="00164ABA">
        <w:trPr>
          <w:gridAfter w:val="1"/>
          <w:wAfter w:w="185" w:type="pct"/>
          <w:trHeight w:val="410"/>
        </w:trPr>
        <w:tc>
          <w:tcPr>
            <w:tcW w:w="2256" w:type="pct"/>
            <w:tcBorders>
              <w:left w:val="nil"/>
            </w:tcBorders>
            <w:shd w:val="clear" w:color="auto" w:fill="auto"/>
            <w:vAlign w:val="center"/>
          </w:tcPr>
          <w:p w14:paraId="37C7D10B" w14:textId="77777777" w:rsidR="00164ABA" w:rsidRDefault="00164ABA" w:rsidP="00164ABA">
            <w:pPr>
              <w:rPr>
                <w:color w:val="005ADE" w:themeColor="accent1"/>
                <w:sz w:val="36"/>
                <w:lang w:val="cs-CZ"/>
              </w:rPr>
            </w:pPr>
            <w:r>
              <w:rPr>
                <w:color w:val="005ADE" w:themeColor="accent1"/>
                <w:sz w:val="36"/>
                <w:lang w:val="cs-CZ"/>
              </w:rPr>
              <w:t xml:space="preserve">Finanční ukazatele </w:t>
            </w:r>
          </w:p>
          <w:p w14:paraId="07AB6053" w14:textId="77777777" w:rsidR="00164ABA" w:rsidRPr="00705338" w:rsidRDefault="00164ABA" w:rsidP="00164ABA">
            <w:pPr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24"/>
                <w:lang w:val="cs-CZ"/>
              </w:rPr>
            </w:pPr>
            <w:r>
              <w:rPr>
                <w:color w:val="005ADE" w:themeColor="accent1"/>
                <w:sz w:val="36"/>
                <w:lang w:val="cs-CZ"/>
              </w:rPr>
              <w:t xml:space="preserve">za </w:t>
            </w:r>
            <w:r w:rsidRPr="00B7250A">
              <w:rPr>
                <w:rFonts w:cs="Times New Roman"/>
                <w:color w:val="005ADE" w:themeColor="accent1"/>
                <w:sz w:val="36"/>
                <w:szCs w:val="24"/>
                <w:lang w:val="cs-CZ"/>
              </w:rPr>
              <w:t>rok 2015</w:t>
            </w:r>
          </w:p>
        </w:tc>
        <w:tc>
          <w:tcPr>
            <w:tcW w:w="91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9B1503" w14:textId="77777777" w:rsidR="00164ABA" w:rsidRPr="00705338" w:rsidRDefault="00164ABA" w:rsidP="00222E49">
            <w:pPr>
              <w:jc w:val="center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vAlign w:val="center"/>
          </w:tcPr>
          <w:p w14:paraId="5C81EB28" w14:textId="77777777" w:rsidR="00164ABA" w:rsidRPr="00705338" w:rsidRDefault="00164ABA" w:rsidP="00222E49">
            <w:pPr>
              <w:jc w:val="center"/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1246" w:type="pct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F2739EA" w14:textId="77777777" w:rsidR="00164ABA" w:rsidRPr="00705338" w:rsidRDefault="00164ABA" w:rsidP="00222E49">
            <w:pPr>
              <w:jc w:val="center"/>
              <w:rPr>
                <w:rFonts w:ascii="ABB Neue Helvetica Medium" w:hAnsi="ABB Neue Helvetica Medium" w:cs="Arial"/>
                <w:bCs/>
                <w:i/>
                <w:sz w:val="16"/>
                <w:szCs w:val="16"/>
                <w:lang w:val="cs-CZ"/>
              </w:rPr>
            </w:pPr>
            <w:r w:rsidRPr="00B7250A">
              <w:rPr>
                <w:rFonts w:ascii="ABB Neue Helvetica Medium" w:hAnsi="ABB Neue Helvetica Medium" w:cs="Arial"/>
                <w:bCs/>
                <w:i/>
                <w:sz w:val="16"/>
                <w:szCs w:val="16"/>
                <w:lang w:val="cs-CZ"/>
              </w:rPr>
              <w:t>Změna</w:t>
            </w:r>
          </w:p>
        </w:tc>
      </w:tr>
      <w:tr w:rsidR="00705338" w:rsidRPr="00705338" w14:paraId="7A11C339" w14:textId="77777777" w:rsidTr="00222E49">
        <w:trPr>
          <w:trHeight w:val="410"/>
        </w:trPr>
        <w:tc>
          <w:tcPr>
            <w:tcW w:w="2256" w:type="pc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6FBB39BE" w14:textId="77777777" w:rsidR="00705338" w:rsidRPr="00705338" w:rsidRDefault="00B7250A" w:rsidP="00740EC1">
            <w:pPr>
              <w:spacing w:line="240" w:lineRule="auto"/>
              <w:rPr>
                <w:rFonts w:cs="Arial"/>
                <w:color w:val="000000"/>
                <w:sz w:val="12"/>
                <w:szCs w:val="12"/>
                <w:lang w:val="cs-CZ"/>
              </w:rPr>
            </w:pPr>
            <w:r w:rsidRPr="00740EC1">
              <w:rPr>
                <w:rFonts w:cs="Arial"/>
                <w:iCs/>
                <w:color w:val="000000"/>
                <w:sz w:val="12"/>
                <w:szCs w:val="12"/>
                <w:lang w:val="cs-CZ"/>
              </w:rPr>
              <w:t>v milionech USD, pokud není uvedeno jinak</w:t>
            </w:r>
          </w:p>
        </w:tc>
        <w:tc>
          <w:tcPr>
            <w:tcW w:w="673" w:type="pct"/>
            <w:tcBorders>
              <w:top w:val="single" w:sz="8" w:space="0" w:color="auto"/>
            </w:tcBorders>
            <w:shd w:val="clear" w:color="000000" w:fill="C5DCFF" w:themeFill="accent1" w:themeFillTint="33"/>
            <w:vAlign w:val="center"/>
          </w:tcPr>
          <w:p w14:paraId="7CA32F59" w14:textId="77777777" w:rsidR="00164ABA" w:rsidRPr="00164ABA" w:rsidRDefault="00164ABA" w:rsidP="00A251C1">
            <w:pPr>
              <w:jc w:val="right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  <w:r w:rsidRPr="00164ABA"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  <w:t>Rok</w:t>
            </w:r>
          </w:p>
          <w:p w14:paraId="1B5C56F4" w14:textId="77777777" w:rsidR="00705338" w:rsidRPr="00705338" w:rsidRDefault="00164ABA" w:rsidP="00A251C1">
            <w:pPr>
              <w:jc w:val="right"/>
              <w:rPr>
                <w:rFonts w:ascii="ABB Neue Helvetica Medium" w:hAnsi="ABB Neue Helvetica Medium" w:cs="Arial"/>
                <w:bCs/>
                <w:color w:val="005ADE" w:themeColor="accent1"/>
                <w:sz w:val="24"/>
                <w:szCs w:val="24"/>
                <w:lang w:val="cs-CZ"/>
              </w:rPr>
            </w:pPr>
            <w:r w:rsidRPr="00164ABA"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  <w:t>2015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809E97" w14:textId="77777777" w:rsidR="00164ABA" w:rsidRPr="00164ABA" w:rsidRDefault="00164ABA" w:rsidP="00A251C1">
            <w:pPr>
              <w:jc w:val="right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  <w:r w:rsidRPr="00164ABA"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  <w:t>Rok</w:t>
            </w:r>
          </w:p>
          <w:p w14:paraId="2150D96E" w14:textId="77777777" w:rsidR="00705338" w:rsidRPr="00705338" w:rsidRDefault="00164ABA" w:rsidP="00A251C1">
            <w:pPr>
              <w:jc w:val="right"/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</w:pPr>
            <w:r w:rsidRPr="00164ABA">
              <w:rPr>
                <w:rFonts w:ascii="ABB Neue Helvetica Medium" w:hAnsi="ABB Neue Helvetica Medium" w:cs="Arial"/>
                <w:bCs/>
                <w:color w:val="005ADE" w:themeColor="accent1"/>
                <w:sz w:val="22"/>
                <w:szCs w:val="16"/>
                <w:lang w:val="cs-CZ"/>
              </w:rPr>
              <w:t>2014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5B20AE2" w14:textId="77777777" w:rsidR="00705338" w:rsidRPr="00705338" w:rsidRDefault="00705338" w:rsidP="00222E49">
            <w:pPr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58433E" w14:textId="77777777" w:rsidR="00705338" w:rsidRPr="00705338" w:rsidRDefault="00B7250A" w:rsidP="00B7250A">
            <w:pPr>
              <w:ind w:left="-107"/>
              <w:jc w:val="right"/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</w:pPr>
            <w:r w:rsidRPr="00B7250A"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  <w:t>USD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184B68" w14:textId="17E9EC4B" w:rsidR="00705338" w:rsidRPr="00705338" w:rsidRDefault="00B7250A" w:rsidP="00222E49">
            <w:pPr>
              <w:ind w:left="-107"/>
              <w:jc w:val="right"/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</w:pPr>
            <w:r w:rsidRPr="00B7250A">
              <w:rPr>
                <w:rFonts w:ascii="ABB Neue Helvetica Medium" w:hAnsi="ABB Neue Helvetica Medium" w:cs="Arial"/>
                <w:bCs/>
                <w:sz w:val="16"/>
                <w:szCs w:val="16"/>
                <w:lang w:val="cs-CZ"/>
              </w:rPr>
              <w:t>Srovnatelné vyjádření</w:t>
            </w:r>
          </w:p>
        </w:tc>
      </w:tr>
      <w:tr w:rsidR="00705338" w:rsidRPr="00705338" w14:paraId="792D1684" w14:textId="77777777" w:rsidTr="00222E49">
        <w:trPr>
          <w:trHeight w:val="340"/>
        </w:trPr>
        <w:tc>
          <w:tcPr>
            <w:tcW w:w="2256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67B5806" w14:textId="77777777" w:rsidR="00705338" w:rsidRPr="00705338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Příjem zakázek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shd w:val="clear" w:color="000000" w:fill="C5DCFF" w:themeFill="accent1" w:themeFillTint="33"/>
            <w:vAlign w:val="center"/>
          </w:tcPr>
          <w:p w14:paraId="14EC8A77" w14:textId="77777777" w:rsidR="00705338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36 429</w:t>
            </w:r>
          </w:p>
        </w:tc>
        <w:tc>
          <w:tcPr>
            <w:tcW w:w="64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88B81E" w14:textId="77777777" w:rsidR="00705338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41 515</w:t>
            </w:r>
          </w:p>
        </w:tc>
        <w:tc>
          <w:tcPr>
            <w:tcW w:w="21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0C3C48" w14:textId="77777777" w:rsidR="00705338" w:rsidRPr="00705338" w:rsidRDefault="00705338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71406B" w14:textId="77777777" w:rsidR="00705338" w:rsidRPr="00705338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-12 %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C10D6F" w14:textId="77777777" w:rsidR="00705338" w:rsidRPr="00705338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-1 %</w:t>
            </w:r>
          </w:p>
        </w:tc>
      </w:tr>
      <w:tr w:rsidR="00705338" w:rsidRPr="00705338" w14:paraId="69687D35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51C5B2D3" w14:textId="77777777" w:rsidR="00705338" w:rsidRPr="00705338" w:rsidRDefault="00B7250A" w:rsidP="00222E49">
            <w:pPr>
              <w:rPr>
                <w:rFonts w:cs="Arial"/>
                <w:iCs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Tržby</w:t>
            </w:r>
          </w:p>
        </w:tc>
        <w:tc>
          <w:tcPr>
            <w:tcW w:w="673" w:type="pct"/>
            <w:tcBorders>
              <w:top w:val="single" w:sz="4" w:space="0" w:color="auto"/>
            </w:tcBorders>
            <w:shd w:val="clear" w:color="000000" w:fill="C5DCFF" w:themeFill="accent1" w:themeFillTint="33"/>
            <w:vAlign w:val="center"/>
          </w:tcPr>
          <w:p w14:paraId="286A1FA5" w14:textId="77777777" w:rsidR="00705338" w:rsidRPr="00164ABA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35 481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4CD25D" w14:textId="77777777" w:rsidR="00705338" w:rsidRPr="00164ABA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39 830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2EEFF5" w14:textId="77777777" w:rsidR="00705338" w:rsidRPr="00705338" w:rsidRDefault="00705338" w:rsidP="00222E49">
            <w:pPr>
              <w:rPr>
                <w:rFonts w:cs="Arial"/>
                <w:iCs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B8705B" w14:textId="77777777" w:rsidR="00705338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-11 %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BB318B" w14:textId="77777777" w:rsidR="00705338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0 %</w:t>
            </w:r>
          </w:p>
        </w:tc>
      </w:tr>
      <w:tr w:rsidR="00705338" w:rsidRPr="00705338" w14:paraId="0319B88B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89840AE" w14:textId="13D02097" w:rsidR="00705338" w:rsidRPr="00705338" w:rsidRDefault="00B7250A" w:rsidP="008E1F1B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Provozní zisk EBITA</w:t>
            </w:r>
          </w:p>
        </w:tc>
        <w:tc>
          <w:tcPr>
            <w:tcW w:w="673" w:type="pct"/>
            <w:tcBorders>
              <w:top w:val="single" w:sz="4" w:space="0" w:color="auto"/>
              <w:bottom w:val="dotted" w:sz="4" w:space="0" w:color="auto"/>
            </w:tcBorders>
            <w:shd w:val="clear" w:color="000000" w:fill="C5DCFF" w:themeFill="accent1" w:themeFillTint="33"/>
            <w:vAlign w:val="center"/>
          </w:tcPr>
          <w:p w14:paraId="33F638AA" w14:textId="77777777" w:rsidR="00705338" w:rsidRPr="00164ABA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4 169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E8A95A" w14:textId="77777777" w:rsidR="00705338" w:rsidRPr="00164ABA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4 475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B5A223" w14:textId="77777777" w:rsidR="00705338" w:rsidRPr="00705338" w:rsidRDefault="00705338" w:rsidP="00222E49">
            <w:pPr>
              <w:rPr>
                <w:rFonts w:cs="Arial"/>
                <w:iCs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19D448" w14:textId="77777777" w:rsidR="00705338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-7 %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F1B781" w14:textId="2550FCC4" w:rsidR="00705338" w:rsidRPr="00164ABA" w:rsidRDefault="008E1F1B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>
              <w:rPr>
                <w:rFonts w:cs="Arial"/>
                <w:sz w:val="18"/>
                <w:szCs w:val="16"/>
                <w:lang w:val="cs-CZ"/>
              </w:rPr>
              <w:t>+3</w:t>
            </w:r>
            <w:r w:rsidR="00705338" w:rsidRPr="00164ABA">
              <w:rPr>
                <w:rFonts w:cs="Arial"/>
                <w:sz w:val="18"/>
                <w:szCs w:val="16"/>
                <w:lang w:val="cs-CZ"/>
              </w:rPr>
              <w:t>%</w:t>
            </w:r>
          </w:p>
        </w:tc>
      </w:tr>
      <w:tr w:rsidR="00705338" w:rsidRPr="00705338" w14:paraId="68F2A48A" w14:textId="77777777" w:rsidTr="00222E49">
        <w:trPr>
          <w:trHeight w:val="340"/>
        </w:trPr>
        <w:tc>
          <w:tcPr>
            <w:tcW w:w="2256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C95689" w14:textId="327F075D" w:rsidR="00705338" w:rsidRPr="00705338" w:rsidRDefault="00740EC1" w:rsidP="00B7250A">
            <w:pPr>
              <w:rPr>
                <w:rFonts w:cs="Arial"/>
                <w:sz w:val="18"/>
                <w:szCs w:val="16"/>
                <w:lang w:val="cs-CZ"/>
              </w:rPr>
            </w:pPr>
            <w:r>
              <w:rPr>
                <w:rFonts w:cs="Arial"/>
                <w:sz w:val="18"/>
                <w:szCs w:val="16"/>
                <w:lang w:val="cs-CZ"/>
              </w:rPr>
              <w:t xml:space="preserve">     </w:t>
            </w:r>
            <w:r w:rsidR="00B7250A" w:rsidRPr="00B7250A">
              <w:rPr>
                <w:rFonts w:cs="Arial"/>
                <w:sz w:val="18"/>
                <w:szCs w:val="16"/>
                <w:lang w:val="cs-CZ"/>
              </w:rPr>
              <w:t>v % z provozních tržeb</w:t>
            </w:r>
          </w:p>
        </w:tc>
        <w:tc>
          <w:tcPr>
            <w:tcW w:w="673" w:type="pct"/>
            <w:tcBorders>
              <w:top w:val="dotted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2309756E" w14:textId="77777777" w:rsidR="00705338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11,8 %</w:t>
            </w:r>
          </w:p>
        </w:tc>
        <w:tc>
          <w:tcPr>
            <w:tcW w:w="64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AB526" w14:textId="77777777" w:rsidR="00705338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11,2 %</w:t>
            </w:r>
          </w:p>
        </w:tc>
        <w:tc>
          <w:tcPr>
            <w:tcW w:w="21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4463E" w14:textId="77777777" w:rsidR="00705338" w:rsidRPr="00705338" w:rsidRDefault="00705338" w:rsidP="00222E49">
            <w:pPr>
              <w:rPr>
                <w:rFonts w:cs="Arial"/>
                <w:iCs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762A2" w14:textId="4E4A51B4" w:rsidR="00705338" w:rsidRPr="00164ABA" w:rsidRDefault="008E1F1B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>
              <w:rPr>
                <w:rFonts w:cs="Arial"/>
                <w:sz w:val="18"/>
                <w:szCs w:val="16"/>
                <w:lang w:val="cs-CZ"/>
              </w:rPr>
              <w:t>+</w:t>
            </w:r>
            <w:r w:rsidR="00164ABA" w:rsidRPr="00164ABA">
              <w:rPr>
                <w:rFonts w:cs="Arial"/>
                <w:sz w:val="18"/>
                <w:szCs w:val="16"/>
                <w:lang w:val="cs-CZ"/>
              </w:rPr>
              <w:t>0,6 % bodu</w:t>
            </w:r>
          </w:p>
        </w:tc>
        <w:tc>
          <w:tcPr>
            <w:tcW w:w="64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FBDD7" w14:textId="2EFDAAD2" w:rsidR="00705338" w:rsidRPr="00164ABA" w:rsidRDefault="00705338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705338" w:rsidRPr="00705338" w14:paraId="6D3B393F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9F2E41" w14:textId="77777777" w:rsidR="00705338" w:rsidRPr="00705338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Čistý zisk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58BE5192" w14:textId="77777777" w:rsidR="00705338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1 933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C45B4" w14:textId="77777777" w:rsidR="00705338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2 594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AC0F0" w14:textId="77777777" w:rsidR="00705338" w:rsidRPr="00164ABA" w:rsidRDefault="00705338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89A05" w14:textId="77777777" w:rsidR="00705338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-25 %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97BB2" w14:textId="77777777" w:rsidR="00705338" w:rsidRPr="00164ABA" w:rsidRDefault="00705338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B7250A" w:rsidRPr="00705338" w14:paraId="27DE2625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102112" w14:textId="77777777" w:rsidR="00B7250A" w:rsidRPr="00B7250A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Základní zisk na akcii (USD)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49D17AB1" w14:textId="77777777" w:rsidR="00B7250A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0,87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CB943" w14:textId="77777777" w:rsidR="00B7250A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1,13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BF476" w14:textId="77777777" w:rsidR="00B7250A" w:rsidRPr="00164ABA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E4AC1" w14:textId="77777777" w:rsidR="00B7250A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-23 %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69992" w14:textId="77777777" w:rsidR="00B7250A" w:rsidRPr="00164ABA" w:rsidRDefault="00B7250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B7250A" w:rsidRPr="00705338" w14:paraId="63EFB7FB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6A2473" w14:textId="77777777" w:rsidR="00B7250A" w:rsidRPr="00705338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Provozní zisk na akcii</w:t>
            </w:r>
            <w:r w:rsidRPr="00B7250A">
              <w:rPr>
                <w:rFonts w:cs="Arial"/>
                <w:sz w:val="18"/>
                <w:szCs w:val="16"/>
                <w:vertAlign w:val="superscript"/>
                <w:lang w:val="cs-CZ"/>
              </w:rPr>
              <w:t>2</w:t>
            </w:r>
            <w:r w:rsidRPr="00B7250A">
              <w:rPr>
                <w:rFonts w:cs="Arial"/>
                <w:sz w:val="18"/>
                <w:szCs w:val="16"/>
                <w:lang w:val="cs-CZ"/>
              </w:rPr>
              <w:t xml:space="preserve"> (na stálém měnovém základě)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5304FC6F" w14:textId="77777777" w:rsidR="00B7250A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1,35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5120F" w14:textId="77777777" w:rsidR="00B7250A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1,28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273DC" w14:textId="77777777" w:rsidR="00B7250A" w:rsidRPr="00164ABA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3916B" w14:textId="77777777" w:rsidR="00B7250A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+5 %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E9AA7" w14:textId="77777777" w:rsidR="00B7250A" w:rsidRPr="00164ABA" w:rsidRDefault="00B7250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B7250A" w:rsidRPr="00705338" w14:paraId="5FD298DD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7204AD" w14:textId="77777777" w:rsidR="00B7250A" w:rsidRPr="00705338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Peněžní tok (cash flow) z provozních činností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772A61A5" w14:textId="77777777" w:rsidR="00B7250A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3 818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10070" w14:textId="77777777" w:rsidR="00B7250A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3 845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A8827" w14:textId="77777777" w:rsidR="00B7250A" w:rsidRPr="00164ABA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6143C" w14:textId="77777777" w:rsidR="00B7250A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-1 %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3A5A" w14:textId="77777777" w:rsidR="00B7250A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+9 %</w:t>
            </w:r>
            <w:r w:rsidRPr="00164ABA">
              <w:rPr>
                <w:rFonts w:cs="Arial"/>
                <w:sz w:val="18"/>
                <w:szCs w:val="16"/>
                <w:vertAlign w:val="superscript"/>
                <w:lang w:val="cs-CZ"/>
              </w:rPr>
              <w:t>2</w:t>
            </w:r>
          </w:p>
        </w:tc>
      </w:tr>
      <w:tr w:rsidR="00B7250A" w:rsidRPr="00705338" w14:paraId="6A067123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3F2E07" w14:textId="76E0C380" w:rsidR="00B7250A" w:rsidRPr="00705338" w:rsidRDefault="00B7250A" w:rsidP="008E1F1B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Volný peněžní tok</w:t>
            </w:r>
            <w:r w:rsidRPr="00B7250A">
              <w:rPr>
                <w:rFonts w:cs="Arial"/>
                <w:sz w:val="18"/>
                <w:szCs w:val="16"/>
                <w:vertAlign w:val="superscript"/>
                <w:lang w:val="cs-CZ"/>
              </w:rPr>
              <w:t>2</w:t>
            </w:r>
            <w:r w:rsidRPr="00B7250A">
              <w:rPr>
                <w:rFonts w:cs="Arial"/>
                <w:sz w:val="18"/>
                <w:szCs w:val="16"/>
                <w:lang w:val="cs-CZ"/>
              </w:rPr>
              <w:br/>
              <w:t xml:space="preserve">      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6BD590EA" w14:textId="1E026BA0" w:rsidR="00B7250A" w:rsidRPr="00705338" w:rsidRDefault="008E1F1B" w:rsidP="008E1F1B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>
              <w:rPr>
                <w:rFonts w:cs="Arial"/>
                <w:sz w:val="18"/>
                <w:szCs w:val="16"/>
                <w:lang w:val="cs-CZ"/>
              </w:rPr>
              <w:t>3 019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5610F" w14:textId="7F33C6AF" w:rsidR="00B7250A" w:rsidRPr="00705338" w:rsidRDefault="008E1F1B" w:rsidP="008E1F1B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>
              <w:rPr>
                <w:rFonts w:cs="Arial"/>
                <w:sz w:val="18"/>
                <w:szCs w:val="16"/>
                <w:lang w:val="cs-CZ"/>
              </w:rPr>
              <w:t>2 857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9669F" w14:textId="77777777" w:rsidR="00B7250A" w:rsidRPr="00164ABA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2CA6F" w14:textId="77777777" w:rsidR="00B7250A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+6 %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CFB04" w14:textId="77777777" w:rsidR="00B7250A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+16 %</w:t>
            </w:r>
            <w:r w:rsidRPr="00164ABA">
              <w:rPr>
                <w:rFonts w:cs="Arial"/>
                <w:sz w:val="18"/>
                <w:szCs w:val="16"/>
                <w:vertAlign w:val="superscript"/>
                <w:lang w:val="cs-CZ"/>
              </w:rPr>
              <w:t>2</w:t>
            </w:r>
          </w:p>
        </w:tc>
      </w:tr>
      <w:tr w:rsidR="008E1F1B" w:rsidRPr="00705338" w14:paraId="6ABC2F75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E7BB1D" w14:textId="2786BBD6" w:rsidR="008E1F1B" w:rsidRPr="00B7250A" w:rsidRDefault="008E1F1B" w:rsidP="00222E49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 xml:space="preserve">      v % z čistého zisku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24021B4F" w14:textId="4673D382" w:rsidR="008E1F1B" w:rsidRPr="00164ABA" w:rsidRDefault="008E1F1B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156 %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E5C05" w14:textId="30F1F1B7" w:rsidR="008E1F1B" w:rsidRPr="00164ABA" w:rsidRDefault="008E1F1B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110 %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D201C" w14:textId="77777777" w:rsidR="008E1F1B" w:rsidRPr="00164ABA" w:rsidRDefault="008E1F1B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5820D" w14:textId="77777777" w:rsidR="008E1F1B" w:rsidRPr="00164ABA" w:rsidRDefault="008E1F1B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B0930" w14:textId="77777777" w:rsidR="008E1F1B" w:rsidRPr="00164ABA" w:rsidRDefault="008E1F1B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B7250A" w:rsidRPr="00705338" w14:paraId="1F963BC9" w14:textId="77777777" w:rsidTr="00222E49">
        <w:trPr>
          <w:trHeight w:val="340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2F3DC3" w14:textId="77777777" w:rsidR="00B7250A" w:rsidRPr="00705338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Peněžní návratnost investovaného kapitálu</w:t>
            </w:r>
            <w:r w:rsidRPr="00B7250A">
              <w:rPr>
                <w:rFonts w:cs="Arial"/>
                <w:sz w:val="18"/>
                <w:szCs w:val="16"/>
                <w:vertAlign w:val="superscript"/>
                <w:lang w:val="cs-CZ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5DCFF" w:themeFill="accent1" w:themeFillTint="33"/>
            <w:vAlign w:val="center"/>
          </w:tcPr>
          <w:p w14:paraId="73610BF2" w14:textId="77777777" w:rsidR="00B7250A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13,4 %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44643" w14:textId="77777777" w:rsidR="00B7250A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12,7 %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86237" w14:textId="77777777" w:rsidR="00B7250A" w:rsidRPr="00164ABA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CA4C8" w14:textId="77777777" w:rsidR="00B7250A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+ 0,7 % bodu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A6D76" w14:textId="77777777" w:rsidR="00B7250A" w:rsidRPr="00164ABA" w:rsidRDefault="00B7250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705338" w:rsidRPr="00705338" w14:paraId="218B9DA6" w14:textId="77777777" w:rsidTr="00222E49">
        <w:trPr>
          <w:trHeight w:val="272"/>
        </w:trPr>
        <w:tc>
          <w:tcPr>
            <w:tcW w:w="225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180417E" w14:textId="77777777" w:rsidR="00705338" w:rsidRPr="00705338" w:rsidRDefault="00B7250A" w:rsidP="00222E49">
            <w:pPr>
              <w:rPr>
                <w:rFonts w:cs="Arial"/>
                <w:sz w:val="18"/>
                <w:szCs w:val="16"/>
                <w:lang w:val="cs-CZ"/>
              </w:rPr>
            </w:pPr>
            <w:r w:rsidRPr="00B7250A">
              <w:rPr>
                <w:rFonts w:cs="Arial"/>
                <w:sz w:val="18"/>
                <w:szCs w:val="16"/>
                <w:lang w:val="cs-CZ"/>
              </w:rPr>
              <w:t>Celkový počet zaměstnanců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C5DCFF" w:themeFill="accent1" w:themeFillTint="33"/>
            <w:vAlign w:val="center"/>
          </w:tcPr>
          <w:p w14:paraId="105D76D0" w14:textId="77777777" w:rsidR="00705338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135 800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A3BC96" w14:textId="77777777" w:rsidR="00705338" w:rsidRPr="00705338" w:rsidRDefault="00164ABA" w:rsidP="00222E49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140 400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86BB14" w14:textId="77777777" w:rsidR="00705338" w:rsidRPr="00164ABA" w:rsidRDefault="00705338" w:rsidP="00222E49">
            <w:pPr>
              <w:rPr>
                <w:rFonts w:cs="Arial"/>
                <w:sz w:val="18"/>
                <w:szCs w:val="16"/>
                <w:lang w:val="cs-CZ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BC3E062" w14:textId="77777777" w:rsidR="00705338" w:rsidRPr="00164ABA" w:rsidRDefault="00164ABA" w:rsidP="00164ABA">
            <w:pPr>
              <w:jc w:val="right"/>
              <w:rPr>
                <w:rFonts w:cs="Arial"/>
                <w:sz w:val="18"/>
                <w:szCs w:val="16"/>
                <w:lang w:val="cs-CZ"/>
              </w:rPr>
            </w:pPr>
            <w:r w:rsidRPr="00164ABA">
              <w:rPr>
                <w:rFonts w:cs="Arial"/>
                <w:sz w:val="18"/>
                <w:szCs w:val="16"/>
                <w:lang w:val="cs-CZ"/>
              </w:rPr>
              <w:t>-3 %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83DB95" w14:textId="77777777" w:rsidR="00705338" w:rsidRPr="00164ABA" w:rsidRDefault="00705338" w:rsidP="00164ABA">
            <w:pPr>
              <w:tabs>
                <w:tab w:val="left" w:pos="375"/>
              </w:tabs>
              <w:jc w:val="right"/>
              <w:rPr>
                <w:rFonts w:cs="Arial"/>
                <w:sz w:val="18"/>
                <w:szCs w:val="16"/>
                <w:lang w:val="cs-CZ"/>
              </w:rPr>
            </w:pPr>
          </w:p>
        </w:tc>
      </w:tr>
      <w:tr w:rsidR="00705338" w:rsidRPr="00705338" w14:paraId="50F83BE7" w14:textId="77777777" w:rsidTr="00222E49">
        <w:trPr>
          <w:gridAfter w:val="1"/>
          <w:wAfter w:w="185" w:type="pct"/>
          <w:trHeight w:val="272"/>
        </w:trPr>
        <w:tc>
          <w:tcPr>
            <w:tcW w:w="4116" w:type="pct"/>
            <w:gridSpan w:val="6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42BBDD4" w14:textId="77777777" w:rsidR="00705338" w:rsidRPr="00705338" w:rsidRDefault="00705338" w:rsidP="00222E49">
            <w:pPr>
              <w:rPr>
                <w:rFonts w:cs="Arial"/>
                <w:sz w:val="14"/>
                <w:szCs w:val="16"/>
                <w:lang w:val="cs-CZ"/>
              </w:rPr>
            </w:pPr>
            <w:r w:rsidRPr="00705338">
              <w:rPr>
                <w:rFonts w:cs="Arial"/>
                <w:sz w:val="14"/>
                <w:szCs w:val="16"/>
                <w:lang w:val="cs-CZ"/>
              </w:rPr>
              <w:t xml:space="preserve">1 Míra růstu zakázek, tržeb a zásoby zakázek ve srovnatelném vyjádření (upravené v místních měnách o akvizice a odprodeje). V tabulce finančních ukazatelů je uvedena míra růstu v USD. </w:t>
            </w:r>
          </w:p>
          <w:p w14:paraId="1D1E1D4C" w14:textId="20E352F8" w:rsidR="00705338" w:rsidRPr="00705338" w:rsidRDefault="00705338" w:rsidP="00222E49">
            <w:pPr>
              <w:rPr>
                <w:rFonts w:cs="Arial"/>
                <w:sz w:val="14"/>
                <w:szCs w:val="16"/>
                <w:lang w:val="cs-CZ"/>
              </w:rPr>
            </w:pPr>
            <w:r w:rsidRPr="00705338">
              <w:rPr>
                <w:rFonts w:cs="Arial"/>
                <w:sz w:val="14"/>
                <w:szCs w:val="16"/>
                <w:lang w:val="cs-CZ"/>
              </w:rPr>
              <w:lastRenderedPageBreak/>
              <w:t xml:space="preserve">2 </w:t>
            </w:r>
            <w:r w:rsidR="006A6C01" w:rsidRPr="006A6C01">
              <w:rPr>
                <w:rFonts w:cs="Arial"/>
                <w:sz w:val="14"/>
                <w:szCs w:val="16"/>
                <w:lang w:val="cs-CZ"/>
              </w:rPr>
              <w:t>Ověření položek uvedených nad rámec požadavků GAAP je možné v sekci „Supplemental Reconciliations and Definitions“ v připojené Finanční informaci týkající se Q4 2015</w:t>
            </w:r>
            <w:r w:rsidR="006A6C01">
              <w:rPr>
                <w:rFonts w:cs="Arial"/>
                <w:sz w:val="14"/>
                <w:szCs w:val="16"/>
                <w:lang w:val="cs-CZ"/>
              </w:rPr>
              <w:t>.</w:t>
            </w:r>
          </w:p>
          <w:p w14:paraId="2756B7B0" w14:textId="77777777" w:rsidR="00705338" w:rsidRPr="00705338" w:rsidRDefault="00705338" w:rsidP="00222E49">
            <w:pPr>
              <w:rPr>
                <w:rFonts w:cs="Arial"/>
                <w:sz w:val="14"/>
                <w:szCs w:val="16"/>
                <w:lang w:val="cs-CZ"/>
              </w:rPr>
            </w:pPr>
            <w:r w:rsidRPr="00705338">
              <w:rPr>
                <w:rFonts w:cs="Arial"/>
                <w:sz w:val="14"/>
                <w:szCs w:val="16"/>
                <w:lang w:val="cs-CZ"/>
              </w:rPr>
              <w:t>3 Míra růstu volného peněžního toku se počítá na stálém měnovém základě (bez započítání vlivů změn v obchodním portfoliu).</w:t>
            </w:r>
          </w:p>
          <w:p w14:paraId="44D1B4ED" w14:textId="77777777" w:rsidR="00705338" w:rsidRPr="00705338" w:rsidRDefault="00705338" w:rsidP="00222E49">
            <w:pPr>
              <w:rPr>
                <w:rFonts w:cs="Arial"/>
                <w:iCs/>
                <w:sz w:val="18"/>
                <w:szCs w:val="16"/>
                <w:lang w:val="cs-CZ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16C7B5" w14:textId="77777777" w:rsidR="00705338" w:rsidRPr="00705338" w:rsidRDefault="00705338" w:rsidP="00222E49">
            <w:pPr>
              <w:tabs>
                <w:tab w:val="left" w:pos="375"/>
              </w:tabs>
              <w:jc w:val="right"/>
              <w:rPr>
                <w:rFonts w:cs="Arial"/>
                <w:iCs/>
                <w:sz w:val="18"/>
                <w:szCs w:val="16"/>
                <w:lang w:val="cs-CZ"/>
              </w:rPr>
            </w:pPr>
          </w:p>
        </w:tc>
      </w:tr>
    </w:tbl>
    <w:p w14:paraId="5E1EDBE4" w14:textId="77777777" w:rsidR="00705338" w:rsidRDefault="00705338" w:rsidP="00B72538">
      <w:pPr>
        <w:pStyle w:val="Zkladntext"/>
        <w:spacing w:line="300" w:lineRule="exact"/>
        <w:rPr>
          <w:rFonts w:eastAsiaTheme="minorHAnsi" w:cstheme="minorBidi"/>
          <w:bCs/>
          <w:color w:val="002897" w:themeColor="text2"/>
          <w:spacing w:val="6"/>
          <w:sz w:val="28"/>
          <w:lang w:val="cs-CZ"/>
        </w:rPr>
      </w:pPr>
    </w:p>
    <w:p w14:paraId="60E6A4E6" w14:textId="77777777" w:rsidR="00705338" w:rsidRDefault="00705338" w:rsidP="00B72538">
      <w:pPr>
        <w:pStyle w:val="Zkladntext"/>
        <w:spacing w:line="300" w:lineRule="exact"/>
        <w:rPr>
          <w:rFonts w:eastAsiaTheme="minorHAnsi" w:cstheme="minorBidi"/>
          <w:bCs/>
          <w:color w:val="002897" w:themeColor="text2"/>
          <w:spacing w:val="6"/>
          <w:sz w:val="28"/>
          <w:lang w:val="cs-CZ"/>
        </w:rPr>
      </w:pPr>
      <w:r w:rsidRPr="00705338">
        <w:rPr>
          <w:rFonts w:eastAsiaTheme="minorHAnsi" w:cstheme="minorBidi"/>
          <w:bCs/>
          <w:color w:val="002897" w:themeColor="text2"/>
          <w:spacing w:val="6"/>
          <w:sz w:val="28"/>
          <w:lang w:val="cs-CZ"/>
        </w:rPr>
        <w:t>Krátkodobý výhled</w:t>
      </w:r>
    </w:p>
    <w:p w14:paraId="0B50FB0D" w14:textId="700717B3" w:rsidR="00705338" w:rsidRPr="00417865" w:rsidRDefault="00417865" w:rsidP="00110B0E">
      <w:pPr>
        <w:pStyle w:val="Documenttitels"/>
      </w:pPr>
      <w:r w:rsidRPr="00417865">
        <w:t>Z makroekonomického a geopolitického vývoje plyne smíšená prognóza a pokračující nejistota. Některé makroekonomické ukazatele ve Spojených státech zůstávají kladné a očekává se i pokračování růstu v Číně, třebaže pomalejšího než v roce 2015. Trh zůstává nadále ovlivněn</w:t>
      </w:r>
      <w:r w:rsidR="008E1F1B">
        <w:t xml:space="preserve"> mírným</w:t>
      </w:r>
      <w:r w:rsidRPr="00417865">
        <w:t xml:space="preserve"> růstem v Evropě a geopolitickým napětím v různých oblastech světa. Očekává se, že finanční výsledky společnosti budou i nadále ovlivňovány cenami ropy a účinky převodu měn. </w:t>
      </w:r>
    </w:p>
    <w:p w14:paraId="3CBBDFFD" w14:textId="77777777" w:rsidR="00705338" w:rsidRDefault="00705338" w:rsidP="00110B0E">
      <w:pPr>
        <w:pStyle w:val="Documenttitels"/>
      </w:pPr>
    </w:p>
    <w:p w14:paraId="0E8CC494" w14:textId="77777777" w:rsidR="00D01109" w:rsidRPr="00705338" w:rsidRDefault="00705338" w:rsidP="00E169D3">
      <w:pPr>
        <w:pStyle w:val="Nzev"/>
        <w:rPr>
          <w:lang w:val="cs-CZ"/>
        </w:rPr>
      </w:pPr>
      <w:r w:rsidRPr="00705338">
        <w:rPr>
          <w:bCs/>
          <w:color w:val="002897" w:themeColor="text2"/>
          <w:spacing w:val="6"/>
          <w:sz w:val="28"/>
          <w:szCs w:val="24"/>
          <w:lang w:val="cs-CZ" w:eastAsia="en-US"/>
        </w:rPr>
        <w:t xml:space="preserve">Výsledky </w:t>
      </w:r>
      <w:r w:rsidR="007F72C0">
        <w:rPr>
          <w:bCs/>
          <w:color w:val="002897" w:themeColor="text2"/>
          <w:spacing w:val="6"/>
          <w:sz w:val="28"/>
          <w:szCs w:val="24"/>
          <w:lang w:val="cs-CZ" w:eastAsia="en-US"/>
        </w:rPr>
        <w:t>ABB Group</w:t>
      </w:r>
      <w:r w:rsidRPr="00705338">
        <w:rPr>
          <w:bCs/>
          <w:color w:val="002897" w:themeColor="text2"/>
          <w:spacing w:val="6"/>
          <w:sz w:val="28"/>
          <w:szCs w:val="24"/>
          <w:lang w:val="cs-CZ" w:eastAsia="en-US"/>
        </w:rPr>
        <w:t xml:space="preserve"> za rok 2015</w:t>
      </w:r>
    </w:p>
    <w:p w14:paraId="495E292C" w14:textId="69ACAC09" w:rsidR="00705338" w:rsidRPr="00110B0E" w:rsidRDefault="00705338" w:rsidP="00705338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  <w:r w:rsidRPr="00110B0E">
        <w:rPr>
          <w:rFonts w:cs="Arial"/>
          <w:sz w:val="22"/>
          <w:szCs w:val="22"/>
          <w:lang w:val="cs-CZ"/>
        </w:rPr>
        <w:t xml:space="preserve">„V souladu se strategií Next Level přesouváme těžiště naší činnosti, a to podporou organického růstu v cílových segmentech, posilováním konkurenceschopnosti a snižováním rizik,“ uvedl generální ředitel ABB </w:t>
      </w:r>
      <w:r w:rsidR="007F72C0" w:rsidRPr="00110B0E">
        <w:rPr>
          <w:rFonts w:cs="Arial"/>
          <w:sz w:val="22"/>
          <w:szCs w:val="22"/>
          <w:lang w:val="cs-CZ"/>
        </w:rPr>
        <w:t xml:space="preserve">Group </w:t>
      </w:r>
      <w:r w:rsidRPr="00110B0E">
        <w:rPr>
          <w:rFonts w:cs="Arial"/>
          <w:sz w:val="22"/>
          <w:szCs w:val="22"/>
          <w:lang w:val="cs-CZ"/>
        </w:rPr>
        <w:t>Ulrich Spiesshofer. „Naše přední postavení v oblasti technologií jsme posílili uvedením robota YuMi</w:t>
      </w:r>
      <w:r w:rsidR="00520A63" w:rsidRPr="00110B0E">
        <w:rPr>
          <w:rFonts w:ascii="Times New Roman" w:hAnsi="Times New Roman"/>
          <w:sz w:val="22"/>
          <w:szCs w:val="22"/>
          <w:lang w:val="cs-CZ"/>
        </w:rPr>
        <w:t>®</w:t>
      </w:r>
      <w:r w:rsidRPr="00110B0E">
        <w:rPr>
          <w:rFonts w:cs="Arial"/>
          <w:sz w:val="22"/>
          <w:szCs w:val="22"/>
          <w:lang w:val="cs-CZ"/>
        </w:rPr>
        <w:t xml:space="preserve">, prvního robota, který </w:t>
      </w:r>
      <w:r w:rsidR="007F72C0" w:rsidRPr="00110B0E">
        <w:rPr>
          <w:rFonts w:cs="Arial"/>
          <w:sz w:val="22"/>
          <w:szCs w:val="22"/>
          <w:lang w:val="cs-CZ"/>
        </w:rPr>
        <w:t xml:space="preserve">skutečně </w:t>
      </w:r>
      <w:r w:rsidRPr="00110B0E">
        <w:rPr>
          <w:rFonts w:cs="Arial"/>
          <w:sz w:val="22"/>
          <w:szCs w:val="22"/>
          <w:lang w:val="cs-CZ"/>
        </w:rPr>
        <w:t xml:space="preserve">dokáže spolupracovat s lidmi. Technologický náskok v oblasti </w:t>
      </w:r>
      <w:r w:rsidR="00805736" w:rsidRPr="00110B0E">
        <w:rPr>
          <w:rFonts w:cs="Arial"/>
          <w:sz w:val="22"/>
          <w:szCs w:val="22"/>
          <w:lang w:val="cs-CZ"/>
        </w:rPr>
        <w:t>I</w:t>
      </w:r>
      <w:r w:rsidRPr="00110B0E">
        <w:rPr>
          <w:rFonts w:cs="Arial"/>
          <w:sz w:val="22"/>
          <w:szCs w:val="22"/>
          <w:lang w:val="cs-CZ"/>
        </w:rPr>
        <w:t>nternetu věcí, služeb a lidí jsme upevnili například nabídkou technologie Octopus pro optimalizovaný provoz plavidel. Navíc se nám vyplácí zaměření na vysoce růstové trhy, jako jsou například odvětví potravinářství a oblast Afriky.“</w:t>
      </w:r>
    </w:p>
    <w:p w14:paraId="3C5E5ACC" w14:textId="77777777" w:rsidR="00705338" w:rsidRPr="00110B0E" w:rsidRDefault="00705338" w:rsidP="00705338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  <w:r w:rsidRPr="00110B0E">
        <w:rPr>
          <w:rFonts w:cs="Arial"/>
          <w:sz w:val="22"/>
          <w:szCs w:val="22"/>
          <w:lang w:val="cs-CZ"/>
        </w:rPr>
        <w:t xml:space="preserve">Příjem zakázek za celý rok zůstal nezměněný (v USD o 12 % poklesl). Velké zakázky (v hodnotě přes 15 milionů USD) vzrostly o 10 % (v USD o 5 % poklesly), a vyvážily tak 3% pokles příjmu </w:t>
      </w:r>
      <w:r w:rsidR="007F72C0" w:rsidRPr="00110B0E">
        <w:rPr>
          <w:rFonts w:cs="Arial"/>
          <w:sz w:val="22"/>
          <w:szCs w:val="22"/>
          <w:lang w:val="cs-CZ"/>
        </w:rPr>
        <w:t xml:space="preserve">běžných </w:t>
      </w:r>
      <w:r w:rsidRPr="00110B0E">
        <w:rPr>
          <w:rFonts w:cs="Arial"/>
          <w:sz w:val="22"/>
          <w:szCs w:val="22"/>
          <w:lang w:val="cs-CZ"/>
        </w:rPr>
        <w:t>zakázek (14% pokles v USD). Zásoba zakázek ke konci prosince 2015 činila 24,1 miliardy USD, tedy o 5 % více (o 3 % méně v USD) ve srovnání s koncem roku 2014. Poměr přijatých a fakturovaných zakázek (book-to-bill ratio) zůstal na stejné hodnotě 1,03</w:t>
      </w:r>
      <w:r w:rsidR="007F72C0" w:rsidRPr="00110B0E">
        <w:rPr>
          <w:rFonts w:cs="Arial"/>
          <w:sz w:val="22"/>
          <w:szCs w:val="22"/>
          <w:lang w:val="cs-CZ"/>
        </w:rPr>
        <w:t>x</w:t>
      </w:r>
      <w:r w:rsidRPr="00110B0E">
        <w:rPr>
          <w:rFonts w:cs="Arial"/>
          <w:sz w:val="22"/>
          <w:szCs w:val="22"/>
          <w:lang w:val="cs-CZ"/>
        </w:rPr>
        <w:t>.</w:t>
      </w:r>
    </w:p>
    <w:p w14:paraId="0ACE0779" w14:textId="388E8BAB" w:rsidR="00705338" w:rsidRPr="00110B0E" w:rsidRDefault="00705338" w:rsidP="00705338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  <w:r w:rsidRPr="00110B0E">
        <w:rPr>
          <w:rFonts w:cs="Arial"/>
          <w:sz w:val="22"/>
          <w:szCs w:val="22"/>
          <w:lang w:val="cs-CZ"/>
        </w:rPr>
        <w:t>Tržby setrvaly na st</w:t>
      </w:r>
      <w:r w:rsidR="007F72C0" w:rsidRPr="00110B0E">
        <w:rPr>
          <w:rFonts w:cs="Arial"/>
          <w:sz w:val="22"/>
          <w:szCs w:val="22"/>
          <w:lang w:val="cs-CZ"/>
        </w:rPr>
        <w:t>ejné úrovni (v USD poklesly o 11</w:t>
      </w:r>
      <w:r w:rsidRPr="00110B0E">
        <w:rPr>
          <w:rFonts w:cs="Arial"/>
          <w:sz w:val="22"/>
          <w:szCs w:val="22"/>
          <w:lang w:val="cs-CZ"/>
        </w:rPr>
        <w:t xml:space="preserve"> %) jako v roce 2014, neboť růst tržeb v divizi Systémy pro energetiku a Výrobky pro energetiku vyvážil pokles v divizích Automatizace výroby a pohony a Procesní automatizace. Tržby z prodeje služeb vzrostly o 6 % (v USD o 8 % poklesly) a jako podíl celkových tržeb skupiny vzrostly o 1 proce</w:t>
      </w:r>
      <w:r w:rsidR="008E1F1B" w:rsidRPr="00110B0E">
        <w:rPr>
          <w:rFonts w:cs="Arial"/>
          <w:sz w:val="22"/>
          <w:szCs w:val="22"/>
          <w:lang w:val="cs-CZ"/>
        </w:rPr>
        <w:t>ntní bod (po úpravě o odprodeje;</w:t>
      </w:r>
      <w:r w:rsidRPr="00110B0E">
        <w:rPr>
          <w:rFonts w:cs="Arial"/>
          <w:sz w:val="22"/>
          <w:szCs w:val="22"/>
          <w:lang w:val="cs-CZ"/>
        </w:rPr>
        <w:t xml:space="preserve"> před úpravou růst činil 0,5 %).</w:t>
      </w:r>
    </w:p>
    <w:p w14:paraId="1D016BC0" w14:textId="778411BD" w:rsidR="00705338" w:rsidRPr="00110B0E" w:rsidRDefault="00705338" w:rsidP="00705338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  <w:r w:rsidRPr="00110B0E">
        <w:rPr>
          <w:rFonts w:cs="Arial"/>
          <w:sz w:val="22"/>
          <w:szCs w:val="22"/>
          <w:lang w:val="cs-CZ"/>
        </w:rPr>
        <w:t>ABB v roce 2015 pokračoval</w:t>
      </w:r>
      <w:r w:rsidR="00520A63" w:rsidRPr="00110B0E">
        <w:rPr>
          <w:rFonts w:cs="Arial"/>
          <w:sz w:val="22"/>
          <w:szCs w:val="22"/>
          <w:lang w:val="cs-CZ"/>
        </w:rPr>
        <w:t>o</w:t>
      </w:r>
      <w:r w:rsidRPr="00110B0E">
        <w:rPr>
          <w:rFonts w:cs="Arial"/>
          <w:sz w:val="22"/>
          <w:szCs w:val="22"/>
          <w:lang w:val="cs-CZ"/>
        </w:rPr>
        <w:t xml:space="preserve"> v realizaci strategie Next Level. Díky tomu provozní zisková marže EBITA vzrostla o 0,6 procentního bodu na 11,8 % a tvorba volného peněžního toku se zvýšila o 16 % na stálém měnovém základě (6 % v USD) na 3 miliardy USD. Hlavními fakto</w:t>
      </w:r>
      <w:r w:rsidR="002F7BC4" w:rsidRPr="00110B0E">
        <w:rPr>
          <w:rFonts w:cs="Arial"/>
          <w:sz w:val="22"/>
          <w:szCs w:val="22"/>
          <w:lang w:val="cs-CZ"/>
        </w:rPr>
        <w:t>ry vyšší ziskovosti skupiny byla</w:t>
      </w:r>
      <w:r w:rsidRPr="00110B0E">
        <w:rPr>
          <w:rFonts w:cs="Arial"/>
          <w:sz w:val="22"/>
          <w:szCs w:val="22"/>
          <w:lang w:val="cs-CZ"/>
        </w:rPr>
        <w:t xml:space="preserve"> úspěšná transformace divize Systémy pro energetiku a průběžná opatření na snižování nákladů a zvyšování produktivity.</w:t>
      </w:r>
    </w:p>
    <w:p w14:paraId="5A8F6077" w14:textId="087947AE" w:rsidR="00705338" w:rsidRPr="00110B0E" w:rsidRDefault="00705338" w:rsidP="00705338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  <w:r w:rsidRPr="00110B0E">
        <w:rPr>
          <w:rFonts w:cs="Arial"/>
          <w:sz w:val="22"/>
          <w:szCs w:val="22"/>
          <w:lang w:val="cs-CZ"/>
        </w:rPr>
        <w:t xml:space="preserve">„Důsledná realizace naší strategie přináší výsledky,“ uvedl Ulrich Spiesshofer. „I v roce 2015 jsme se ukázněným způsobem soustředili na růstové příležitosti a zároveň jsme omezovali vliv nepříznivé situace na trhu přizpůsobením kapacit, opatřeními na zvýšení produktivity a snižováním nákladů. Úspěšně jsme pokročili v transformaci ABB směrem ke zvýšení kultury </w:t>
      </w:r>
      <w:r w:rsidR="007F72C0" w:rsidRPr="00110B0E">
        <w:rPr>
          <w:rFonts w:cs="Arial"/>
          <w:sz w:val="22"/>
          <w:szCs w:val="22"/>
          <w:lang w:val="cs-CZ"/>
        </w:rPr>
        <w:t xml:space="preserve">produktivity </w:t>
      </w:r>
      <w:r w:rsidRPr="00110B0E">
        <w:rPr>
          <w:rFonts w:cs="Arial"/>
          <w:sz w:val="22"/>
          <w:szCs w:val="22"/>
          <w:lang w:val="cs-CZ"/>
        </w:rPr>
        <w:t>zaved</w:t>
      </w:r>
      <w:r w:rsidR="007F72C0" w:rsidRPr="00110B0E">
        <w:rPr>
          <w:rFonts w:cs="Arial"/>
          <w:sz w:val="22"/>
          <w:szCs w:val="22"/>
          <w:lang w:val="cs-CZ"/>
        </w:rPr>
        <w:t xml:space="preserve">ením nového </w:t>
      </w:r>
      <w:r w:rsidRPr="00110B0E">
        <w:rPr>
          <w:rFonts w:cs="Arial"/>
          <w:sz w:val="22"/>
          <w:szCs w:val="22"/>
          <w:lang w:val="cs-CZ"/>
        </w:rPr>
        <w:t>model</w:t>
      </w:r>
      <w:r w:rsidR="007F72C0" w:rsidRPr="00110B0E">
        <w:rPr>
          <w:rFonts w:cs="Arial"/>
          <w:sz w:val="22"/>
          <w:szCs w:val="22"/>
          <w:lang w:val="cs-CZ"/>
        </w:rPr>
        <w:t>u</w:t>
      </w:r>
      <w:r w:rsidRPr="00110B0E">
        <w:rPr>
          <w:rFonts w:cs="Arial"/>
          <w:sz w:val="22"/>
          <w:szCs w:val="22"/>
          <w:lang w:val="cs-CZ"/>
        </w:rPr>
        <w:t xml:space="preserve"> řízení produktivity a odměňování</w:t>
      </w:r>
      <w:r w:rsidR="007F72C0" w:rsidRPr="00110B0E">
        <w:rPr>
          <w:rFonts w:cs="Arial"/>
          <w:sz w:val="22"/>
          <w:szCs w:val="22"/>
          <w:lang w:val="cs-CZ"/>
        </w:rPr>
        <w:t xml:space="preserve"> pro více než 70 000 lidí</w:t>
      </w:r>
      <w:r w:rsidR="002F7BC4" w:rsidRPr="00110B0E">
        <w:rPr>
          <w:rFonts w:cs="Arial"/>
          <w:sz w:val="22"/>
          <w:szCs w:val="22"/>
          <w:lang w:val="cs-CZ"/>
        </w:rPr>
        <w:t xml:space="preserve"> v roce 2015</w:t>
      </w:r>
      <w:r w:rsidRPr="00110B0E">
        <w:rPr>
          <w:rFonts w:cs="Arial"/>
          <w:sz w:val="22"/>
          <w:szCs w:val="22"/>
          <w:lang w:val="cs-CZ"/>
        </w:rPr>
        <w:t>. Završili jsme proměnu divizního uspořádání. Strategická revize portfolia divize Energetika bude v souladu s dřívějším oznámením dokončena v roce 2016.“</w:t>
      </w:r>
    </w:p>
    <w:p w14:paraId="4974AC84" w14:textId="68CED559" w:rsidR="00705338" w:rsidRPr="00110B0E" w:rsidRDefault="00705338" w:rsidP="00705338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  <w:r w:rsidRPr="00110B0E">
        <w:rPr>
          <w:rFonts w:cs="Arial"/>
          <w:sz w:val="22"/>
          <w:szCs w:val="22"/>
          <w:lang w:val="cs-CZ"/>
        </w:rPr>
        <w:t xml:space="preserve">Čistý zisk za rok 2015 dosáhl 1,9 miliardy USD. Ovlivnily jej náklady ve výši 626 milionů USD vynaložené na restrukturalizaci a na související přizpůsobení kapacit a opatření na zvýšení produktivity </w:t>
      </w:r>
      <w:r w:rsidR="007F72C0" w:rsidRPr="00110B0E">
        <w:rPr>
          <w:rFonts w:cs="Arial"/>
          <w:sz w:val="22"/>
          <w:szCs w:val="22"/>
          <w:lang w:val="cs-CZ"/>
        </w:rPr>
        <w:t>technicko-hospodářských</w:t>
      </w:r>
      <w:r w:rsidRPr="00110B0E">
        <w:rPr>
          <w:rFonts w:cs="Arial"/>
          <w:sz w:val="22"/>
          <w:szCs w:val="22"/>
          <w:lang w:val="cs-CZ"/>
        </w:rPr>
        <w:t xml:space="preserve"> pracovníků. Úspěšná opatření na zvýšení čistého provozního kapitálu přispěla k vyšším peněžním tokům z provozních činností (na stálém měnovém základě) a konverzi volného peněžního toku. Tato opatření se projevila také ve vyšší návratnosti investovaného kapitálu</w:t>
      </w:r>
      <w:r w:rsidRPr="00110B0E">
        <w:rPr>
          <w:rFonts w:cs="Arial"/>
          <w:sz w:val="22"/>
          <w:szCs w:val="22"/>
          <w:vertAlign w:val="superscript"/>
          <w:lang w:val="cs-CZ"/>
        </w:rPr>
        <w:t>2</w:t>
      </w:r>
      <w:r w:rsidRPr="00110B0E">
        <w:rPr>
          <w:rFonts w:cs="Arial"/>
          <w:sz w:val="22"/>
          <w:szCs w:val="22"/>
          <w:lang w:val="cs-CZ"/>
        </w:rPr>
        <w:t xml:space="preserve"> (CROI) na úrovni 13,4 %. Základní zisk na akcii v roce 2015 činil 0,87 USD, přičemž provozní zisk na akcii</w:t>
      </w:r>
      <w:r w:rsidRPr="00110B0E">
        <w:rPr>
          <w:rFonts w:cs="Arial"/>
          <w:sz w:val="22"/>
          <w:szCs w:val="22"/>
          <w:vertAlign w:val="superscript"/>
          <w:lang w:val="cs-CZ"/>
        </w:rPr>
        <w:t>2</w:t>
      </w:r>
      <w:r w:rsidRPr="00110B0E">
        <w:rPr>
          <w:rFonts w:cs="Arial"/>
          <w:sz w:val="22"/>
          <w:szCs w:val="22"/>
          <w:lang w:val="cs-CZ"/>
        </w:rPr>
        <w:t xml:space="preserve"> na stálém měnovém základě dosáhl 1,35 </w:t>
      </w:r>
      <w:r w:rsidR="002F7BC4" w:rsidRPr="00110B0E">
        <w:rPr>
          <w:rFonts w:cs="Arial"/>
          <w:sz w:val="22"/>
          <w:szCs w:val="22"/>
          <w:lang w:val="cs-CZ"/>
        </w:rPr>
        <w:t xml:space="preserve">USD. </w:t>
      </w:r>
      <w:r w:rsidRPr="00110B0E">
        <w:rPr>
          <w:rFonts w:cs="Arial"/>
          <w:sz w:val="22"/>
          <w:szCs w:val="22"/>
          <w:lang w:val="cs-CZ"/>
        </w:rPr>
        <w:t xml:space="preserve">To je o 5 % více než v </w:t>
      </w:r>
      <w:r w:rsidR="002F7BC4" w:rsidRPr="00110B0E">
        <w:rPr>
          <w:rFonts w:cs="Arial"/>
          <w:sz w:val="22"/>
          <w:szCs w:val="22"/>
          <w:lang w:val="cs-CZ"/>
        </w:rPr>
        <w:t>p</w:t>
      </w:r>
      <w:r w:rsidRPr="00110B0E">
        <w:rPr>
          <w:rFonts w:cs="Arial"/>
          <w:sz w:val="22"/>
          <w:szCs w:val="22"/>
          <w:lang w:val="cs-CZ"/>
        </w:rPr>
        <w:t>ředchozím roce.</w:t>
      </w:r>
    </w:p>
    <w:p w14:paraId="1C0B2463" w14:textId="77777777" w:rsidR="00705338" w:rsidRPr="00110B0E" w:rsidRDefault="00705338" w:rsidP="00705338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  <w:r w:rsidRPr="00110B0E">
        <w:rPr>
          <w:rFonts w:cs="Arial"/>
          <w:sz w:val="22"/>
          <w:szCs w:val="22"/>
          <w:lang w:val="cs-CZ"/>
        </w:rPr>
        <w:lastRenderedPageBreak/>
        <w:t>V roce 2015 vrátila společnost ABB akcionářům 3,2 miliardy USD v hotovosti, což je historický rekord. Stalo se tak formou výplaty dividend a zpětného odkupu akcií. Za rok 2015 představenstvo společnosti navrhlo zvýšení dividendy o 0,02 CHF na 0,74 CHF na akcii. Návrh bude předložen akcionářům ke schválení na výroční valné hromadě, která se koná dne 21. dubna 2016.</w:t>
      </w:r>
    </w:p>
    <w:p w14:paraId="727FBB09" w14:textId="77777777" w:rsidR="00E169D3" w:rsidRPr="00110B0E" w:rsidRDefault="00705338" w:rsidP="00705338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  <w:r w:rsidRPr="00110B0E">
        <w:rPr>
          <w:rFonts w:cs="Arial"/>
          <w:sz w:val="22"/>
          <w:szCs w:val="22"/>
          <w:lang w:val="cs-CZ"/>
        </w:rPr>
        <w:t>„V souladu s naším závazkem vytvářet atraktivní výnosy pro akcionáře představenstvo ABB navrhuje sedmé zvýšení dividendy v řadě, a to na 0,74 CHF na akcii. Základem této udržitelné výnosové strategie je naše výrazná tvorba peněžní hotovosti,“ řekl generální ředitel Ulrich Spiesshofer.</w:t>
      </w:r>
    </w:p>
    <w:p w14:paraId="293736A4" w14:textId="77777777" w:rsidR="00E169D3" w:rsidRPr="00110B0E" w:rsidRDefault="00E169D3" w:rsidP="00E169D3">
      <w:pPr>
        <w:pStyle w:val="Zkladntext"/>
        <w:spacing w:before="80" w:line="300" w:lineRule="exact"/>
        <w:rPr>
          <w:rFonts w:cs="Arial"/>
          <w:sz w:val="22"/>
          <w:szCs w:val="22"/>
          <w:lang w:val="cs-CZ"/>
        </w:rPr>
      </w:pPr>
    </w:p>
    <w:p w14:paraId="4637FA7C" w14:textId="77777777" w:rsidR="009920F4" w:rsidRPr="00110B0E" w:rsidRDefault="00705338" w:rsidP="003621AF">
      <w:pPr>
        <w:spacing w:after="200" w:line="276" w:lineRule="auto"/>
        <w:rPr>
          <w:rFonts w:eastAsia="Times New Roman" w:cs="Arial"/>
          <w:color w:val="000000"/>
          <w:sz w:val="22"/>
          <w:lang w:val="cs-CZ"/>
        </w:rPr>
      </w:pPr>
      <w:r w:rsidRPr="00110B0E">
        <w:rPr>
          <w:rFonts w:eastAsia="Times New Roman" w:cs="Arial"/>
          <w:color w:val="000000"/>
          <w:sz w:val="22"/>
          <w:lang w:val="cs-CZ"/>
        </w:rPr>
        <w:t xml:space="preserve">ABB (www.abb.com) je předním světovým dodavatelem technologií pro energetiku a automatizaci. Umožňuje zákazníkům ze sféry energetiky, průmyslu, dopravy a infrastruktury zlepšit jejich výkonnost při současném snížení dopadu na životní prostředí. ABB Group má kolem 135 000 zaměstnanců v téměř 100 zemích světa. </w:t>
      </w:r>
    </w:p>
    <w:p w14:paraId="6C9136C5" w14:textId="77777777" w:rsidR="00C21DB8" w:rsidRDefault="00C21DB8" w:rsidP="00C21DB8">
      <w:pPr>
        <w:spacing w:before="120" w:after="120"/>
        <w:rPr>
          <w:rFonts w:eastAsia="Arial" w:cs="Arial"/>
          <w:color w:val="000000" w:themeColor="text1"/>
          <w:szCs w:val="20"/>
          <w:lang w:val="cs-CZ"/>
        </w:rPr>
      </w:pPr>
    </w:p>
    <w:p w14:paraId="20C5B83A" w14:textId="77777777" w:rsidR="00110B0E" w:rsidRPr="009E3837" w:rsidRDefault="00110B0E" w:rsidP="00C21DB8">
      <w:pPr>
        <w:spacing w:before="120" w:after="120"/>
        <w:rPr>
          <w:rFonts w:eastAsia="Arial" w:cs="Arial"/>
          <w:color w:val="000000" w:themeColor="text1"/>
          <w:szCs w:val="20"/>
          <w:lang w:val="cs-CZ"/>
        </w:rPr>
      </w:pPr>
    </w:p>
    <w:p w14:paraId="19EF0799" w14:textId="77777777" w:rsidR="00C21DB8" w:rsidRPr="008C13C4" w:rsidRDefault="00C21DB8" w:rsidP="00C21DB8">
      <w:pPr>
        <w:spacing w:before="120" w:after="120"/>
        <w:jc w:val="both"/>
        <w:rPr>
          <w:rFonts w:ascii="Helvetica" w:eastAsia="Arial" w:hAnsi="Helvetica" w:cs="Arial"/>
          <w:szCs w:val="20"/>
          <w:lang w:val="cs-CZ"/>
        </w:rPr>
      </w:pPr>
    </w:p>
    <w:p w14:paraId="02033EF2" w14:textId="77777777" w:rsidR="00C21DB8" w:rsidRPr="008C13C4" w:rsidRDefault="00C21DB8" w:rsidP="00C21DB8">
      <w:pPr>
        <w:pStyle w:val="Nzev"/>
        <w:jc w:val="both"/>
        <w:rPr>
          <w:lang w:val="cs-CZ"/>
        </w:rPr>
      </w:pPr>
      <w:r w:rsidRPr="008C13C4">
        <w:rPr>
          <w:lang w:val="cs-CZ"/>
        </w:rPr>
        <w:t>Pro další informace prosím kontaktujte: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466"/>
        <w:gridCol w:w="4847"/>
      </w:tblGrid>
      <w:tr w:rsidR="00C21DB8" w:rsidRPr="008C13C4" w14:paraId="5C74AB54" w14:textId="77777777" w:rsidTr="00222E49">
        <w:tc>
          <w:tcPr>
            <w:tcW w:w="3354" w:type="dxa"/>
          </w:tcPr>
          <w:p w14:paraId="51926C88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szCs w:val="20"/>
                <w:lang w:val="cs-CZ"/>
              </w:rPr>
            </w:pPr>
            <w:r w:rsidRPr="008C13C4">
              <w:rPr>
                <w:szCs w:val="20"/>
                <w:lang w:val="cs-CZ"/>
              </w:rPr>
              <w:t>Grayling Agency:</w:t>
            </w:r>
          </w:p>
          <w:p w14:paraId="795A7419" w14:textId="77777777" w:rsidR="00C21DB8" w:rsidRPr="00110B0E" w:rsidRDefault="00C21DB8" w:rsidP="00222E49">
            <w:pPr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szCs w:val="20"/>
                <w:lang w:val="cs-CZ"/>
              </w:rPr>
            </w:pPr>
            <w:r w:rsidRPr="00110B0E">
              <w:rPr>
                <w:szCs w:val="20"/>
                <w:lang w:val="cs-CZ"/>
              </w:rPr>
              <w:t xml:space="preserve">Jiří Böhm, Tereza Kunová                       </w:t>
            </w:r>
          </w:p>
          <w:p w14:paraId="1E24D9FF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szCs w:val="20"/>
                <w:lang w:val="cs-CZ"/>
              </w:rPr>
            </w:pPr>
            <w:r w:rsidRPr="008C13C4">
              <w:rPr>
                <w:szCs w:val="20"/>
                <w:lang w:val="cs-CZ"/>
              </w:rPr>
              <w:t>tel.: +420 601 592 123</w:t>
            </w:r>
          </w:p>
          <w:p w14:paraId="06CBC94E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szCs w:val="20"/>
                <w:lang w:val="cs-CZ"/>
              </w:rPr>
            </w:pPr>
            <w:r w:rsidRPr="008C13C4">
              <w:rPr>
                <w:szCs w:val="20"/>
                <w:lang w:val="cs-CZ"/>
              </w:rPr>
              <w:t>tel.: +420 </w:t>
            </w:r>
            <w:r w:rsidRPr="002973A6">
              <w:rPr>
                <w:szCs w:val="20"/>
                <w:lang w:val="cs-CZ"/>
              </w:rPr>
              <w:t>607 005 726</w:t>
            </w:r>
          </w:p>
          <w:p w14:paraId="52F67B9E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szCs w:val="20"/>
                <w:lang w:val="cs-CZ"/>
              </w:rPr>
            </w:pPr>
            <w:r w:rsidRPr="008C13C4">
              <w:rPr>
                <w:szCs w:val="20"/>
                <w:lang w:val="cs-CZ"/>
              </w:rPr>
              <w:t>e-mail: abbpress@grayling.com</w:t>
            </w:r>
          </w:p>
        </w:tc>
        <w:tc>
          <w:tcPr>
            <w:tcW w:w="1466" w:type="dxa"/>
          </w:tcPr>
          <w:p w14:paraId="54F144C6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0"/>
                <w:lang w:val="cs-CZ"/>
              </w:rPr>
            </w:pPr>
          </w:p>
        </w:tc>
        <w:tc>
          <w:tcPr>
            <w:tcW w:w="4847" w:type="dxa"/>
          </w:tcPr>
          <w:p w14:paraId="46E83ABE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0"/>
                <w:lang w:val="cs-CZ"/>
              </w:rPr>
            </w:pPr>
            <w:r w:rsidRPr="008C13C4">
              <w:rPr>
                <w:szCs w:val="20"/>
                <w:lang w:val="cs-CZ"/>
              </w:rPr>
              <w:t xml:space="preserve">ABB s.r.o.:    </w:t>
            </w:r>
          </w:p>
          <w:p w14:paraId="56226A8E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0"/>
                <w:lang w:val="cs-CZ"/>
              </w:rPr>
            </w:pPr>
            <w:r w:rsidRPr="008C13C4">
              <w:rPr>
                <w:szCs w:val="20"/>
                <w:lang w:val="cs-CZ"/>
              </w:rPr>
              <w:t>Lucie Melicharová Jandová, ředitelka marketingové komunikace &amp; PR</w:t>
            </w:r>
          </w:p>
          <w:p w14:paraId="015EBA22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0"/>
                <w:lang w:val="cs-CZ"/>
              </w:rPr>
            </w:pPr>
            <w:r w:rsidRPr="008C13C4">
              <w:rPr>
                <w:szCs w:val="20"/>
                <w:lang w:val="cs-CZ"/>
              </w:rPr>
              <w:t>tel.: +420 234 322 111</w:t>
            </w:r>
          </w:p>
          <w:p w14:paraId="2A175716" w14:textId="77777777" w:rsidR="00C21DB8" w:rsidRPr="008C13C4" w:rsidRDefault="00C21DB8" w:rsidP="00222E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0"/>
                <w:lang w:val="cs-CZ"/>
              </w:rPr>
            </w:pPr>
            <w:r w:rsidRPr="008C13C4">
              <w:rPr>
                <w:szCs w:val="20"/>
                <w:lang w:val="cs-CZ"/>
              </w:rPr>
              <w:t>e-mail: lucie.melicharova-jandova@cz.abb.com</w:t>
            </w:r>
          </w:p>
        </w:tc>
      </w:tr>
    </w:tbl>
    <w:p w14:paraId="02DD8DAC" w14:textId="77777777" w:rsidR="00C21DB8" w:rsidRDefault="00C21DB8" w:rsidP="00C21DB8">
      <w:pPr>
        <w:spacing w:before="120" w:after="120"/>
        <w:rPr>
          <w:rFonts w:eastAsia="Arial" w:cs="Arial"/>
          <w:color w:val="000000" w:themeColor="text1"/>
          <w:szCs w:val="20"/>
          <w:lang w:val="cs-CZ"/>
        </w:rPr>
      </w:pPr>
    </w:p>
    <w:p w14:paraId="0890BAAE" w14:textId="77777777" w:rsidR="00C21DB8" w:rsidRDefault="00C21DB8" w:rsidP="00C21DB8">
      <w:pPr>
        <w:spacing w:before="120" w:after="120"/>
        <w:rPr>
          <w:rFonts w:eastAsia="Arial" w:cs="Arial"/>
          <w:color w:val="000000" w:themeColor="text1"/>
          <w:szCs w:val="20"/>
          <w:lang w:val="cs-CZ"/>
        </w:rPr>
      </w:pPr>
    </w:p>
    <w:p w14:paraId="33566BB9" w14:textId="77777777" w:rsidR="00D91589" w:rsidRPr="00705338" w:rsidRDefault="00D91589" w:rsidP="00C21DB8">
      <w:pPr>
        <w:spacing w:after="200" w:line="276" w:lineRule="auto"/>
        <w:rPr>
          <w:rFonts w:cs="Helvetica"/>
          <w:color w:val="000000"/>
          <w:sz w:val="19"/>
          <w:szCs w:val="19"/>
          <w:shd w:val="clear" w:color="auto" w:fill="FFFFFF"/>
          <w:lang w:val="cs-CZ"/>
        </w:rPr>
      </w:pPr>
    </w:p>
    <w:sectPr w:rsidR="00D91589" w:rsidRPr="00705338" w:rsidSect="00556171">
      <w:footerReference w:type="default" r:id="rId8"/>
      <w:headerReference w:type="first" r:id="rId9"/>
      <w:endnotePr>
        <w:numFmt w:val="decimal"/>
      </w:endnotePr>
      <w:pgSz w:w="11907" w:h="16839" w:code="9"/>
      <w:pgMar w:top="1134" w:right="850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037A" w14:textId="77777777" w:rsidR="00544314" w:rsidRDefault="00544314" w:rsidP="00BE1A72">
      <w:pPr>
        <w:spacing w:line="240" w:lineRule="auto"/>
      </w:pPr>
      <w:r>
        <w:separator/>
      </w:r>
    </w:p>
  </w:endnote>
  <w:endnote w:type="continuationSeparator" w:id="0">
    <w:p w14:paraId="31F08847" w14:textId="77777777" w:rsidR="00544314" w:rsidRDefault="00544314" w:rsidP="00BE1A72">
      <w:pPr>
        <w:spacing w:line="240" w:lineRule="auto"/>
      </w:pPr>
      <w:r>
        <w:continuationSeparator/>
      </w:r>
    </w:p>
  </w:endnote>
  <w:endnote w:type="continuationNotice" w:id="1">
    <w:p w14:paraId="308CD463" w14:textId="77777777" w:rsidR="00544314" w:rsidRDefault="00544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B Neue Helvetica Light">
    <w:altName w:val="Times New Roman"/>
    <w:charset w:val="EE"/>
    <w:family w:val="swiss"/>
    <w:pitch w:val="variable"/>
    <w:sig w:usb0="800000AF" w:usb1="10002042" w:usb2="00000000" w:usb3="00000000" w:csb0="0000009B" w:csb1="00000000"/>
  </w:font>
  <w:font w:name="ABB Neue Helvetica Medium">
    <w:altName w:val="Arial"/>
    <w:charset w:val="EE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321762"/>
      <w:docPartObj>
        <w:docPartGallery w:val="Page Numbers (Bottom of Page)"/>
        <w:docPartUnique/>
      </w:docPartObj>
    </w:sdtPr>
    <w:sdtEndPr/>
    <w:sdtContent>
      <w:sdt>
        <w:sdtPr>
          <w:id w:val="971864340"/>
          <w:docPartObj>
            <w:docPartGallery w:val="Page Numbers (Top of Page)"/>
            <w:docPartUnique/>
          </w:docPartObj>
        </w:sdtPr>
        <w:sdtEndPr/>
        <w:sdtContent>
          <w:p w14:paraId="5361B679" w14:textId="77777777" w:rsidR="005D1749" w:rsidRDefault="005D1749">
            <w:pPr>
              <w:pStyle w:val="Zpat"/>
            </w:pPr>
            <w:r w:rsidRPr="006D65E2">
              <w:t xml:space="preserve">Page </w:t>
            </w:r>
            <w:r w:rsidRPr="006D65E2">
              <w:rPr>
                <w:bCs/>
                <w:sz w:val="24"/>
                <w:szCs w:val="24"/>
              </w:rPr>
              <w:fldChar w:fldCharType="begin"/>
            </w:r>
            <w:r w:rsidRPr="006D65E2">
              <w:rPr>
                <w:bCs/>
              </w:rPr>
              <w:instrText xml:space="preserve"> PAGE </w:instrText>
            </w:r>
            <w:r w:rsidRPr="006D65E2">
              <w:rPr>
                <w:bCs/>
                <w:sz w:val="24"/>
                <w:szCs w:val="24"/>
              </w:rPr>
              <w:fldChar w:fldCharType="separate"/>
            </w:r>
            <w:r w:rsidR="00377FDC">
              <w:rPr>
                <w:bCs/>
                <w:noProof/>
              </w:rPr>
              <w:t>4</w:t>
            </w:r>
            <w:r w:rsidRPr="006D65E2">
              <w:rPr>
                <w:bCs/>
                <w:sz w:val="24"/>
                <w:szCs w:val="24"/>
              </w:rPr>
              <w:fldChar w:fldCharType="end"/>
            </w:r>
            <w:r w:rsidRPr="006D65E2">
              <w:t xml:space="preserve"> of </w:t>
            </w:r>
            <w:r w:rsidRPr="006D65E2">
              <w:rPr>
                <w:bCs/>
                <w:sz w:val="24"/>
                <w:szCs w:val="24"/>
              </w:rPr>
              <w:fldChar w:fldCharType="begin"/>
            </w:r>
            <w:r w:rsidRPr="006D65E2">
              <w:rPr>
                <w:bCs/>
              </w:rPr>
              <w:instrText xml:space="preserve"> NUMPAGES  </w:instrText>
            </w:r>
            <w:r w:rsidRPr="006D65E2">
              <w:rPr>
                <w:bCs/>
                <w:sz w:val="24"/>
                <w:szCs w:val="24"/>
              </w:rPr>
              <w:fldChar w:fldCharType="separate"/>
            </w:r>
            <w:r w:rsidR="00377FDC">
              <w:rPr>
                <w:bCs/>
                <w:noProof/>
              </w:rPr>
              <w:t>4</w:t>
            </w:r>
            <w:r w:rsidRPr="006D65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9591D" w14:textId="77777777" w:rsidR="00544314" w:rsidRDefault="00544314" w:rsidP="00BE1A72">
      <w:pPr>
        <w:spacing w:line="240" w:lineRule="auto"/>
      </w:pPr>
      <w:r>
        <w:separator/>
      </w:r>
    </w:p>
  </w:footnote>
  <w:footnote w:type="continuationSeparator" w:id="0">
    <w:p w14:paraId="2EB1D3B9" w14:textId="77777777" w:rsidR="00544314" w:rsidRDefault="00544314" w:rsidP="00BE1A72">
      <w:pPr>
        <w:spacing w:line="240" w:lineRule="auto"/>
      </w:pPr>
      <w:r>
        <w:continuationSeparator/>
      </w:r>
    </w:p>
  </w:footnote>
  <w:footnote w:type="continuationNotice" w:id="1">
    <w:p w14:paraId="5C8E00D8" w14:textId="77777777" w:rsidR="00544314" w:rsidRDefault="00544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303E" w14:textId="77777777" w:rsidR="005D1749" w:rsidRPr="00DD44BF" w:rsidRDefault="005D1749" w:rsidP="00DF3461">
    <w:pPr>
      <w:pStyle w:val="Zhlav"/>
      <w:tabs>
        <w:tab w:val="clear" w:pos="9406"/>
      </w:tabs>
    </w:pPr>
    <w:r w:rsidRPr="00A85019"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1806D879" wp14:editId="59AB5094">
          <wp:simplePos x="0" y="0"/>
          <wp:positionH relativeFrom="margin">
            <wp:align>right</wp:align>
          </wp:positionH>
          <wp:positionV relativeFrom="page">
            <wp:posOffset>9989185</wp:posOffset>
          </wp:positionV>
          <wp:extent cx="2588260" cy="381000"/>
          <wp:effectExtent l="0" t="0" r="2540" b="0"/>
          <wp:wrapNone/>
          <wp:docPr id="1" name="Picture 1" descr="ABB1ClaimL_rgb300_100mmLIGHT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ABB1ClaimL_rgb300_100mmLIGHT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25882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0B3"/>
    <w:multiLevelType w:val="hybridMultilevel"/>
    <w:tmpl w:val="A274C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149"/>
    <w:multiLevelType w:val="multilevel"/>
    <w:tmpl w:val="01B49F14"/>
    <w:lvl w:ilvl="0">
      <w:start w:val="1"/>
      <w:numFmt w:val="bullet"/>
      <w:pStyle w:val="BulletPoint01"/>
      <w:lvlText w:val="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>
      <w:start w:val="1"/>
      <w:numFmt w:val="bullet"/>
      <w:pStyle w:val="BulletPoint02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406B69"/>
    <w:multiLevelType w:val="multilevel"/>
    <w:tmpl w:val="698A40E4"/>
    <w:styleLink w:val="Style2"/>
    <w:lvl w:ilvl="0">
      <w:start w:val="1"/>
      <w:numFmt w:val="decimal"/>
      <w:pStyle w:val="ListParagraph1"/>
      <w:lvlText w:val="%1."/>
      <w:lvlJc w:val="left"/>
      <w:pPr>
        <w:ind w:left="454" w:hanging="454"/>
      </w:pPr>
      <w:rPr>
        <w:rFonts w:asciiTheme="minorHAnsi" w:hAnsiTheme="minorHAnsi" w:hint="default"/>
        <w:b w:val="0"/>
        <w:sz w:val="28"/>
      </w:rPr>
    </w:lvl>
    <w:lvl w:ilvl="1">
      <w:start w:val="1"/>
      <w:numFmt w:val="decimal"/>
      <w:pStyle w:val="Nadpis2"/>
      <w:lvlText w:val="%1.%2."/>
      <w:lvlJc w:val="left"/>
      <w:pPr>
        <w:ind w:left="510" w:hanging="510"/>
      </w:pPr>
      <w:rPr>
        <w:rFonts w:asciiTheme="minorHAnsi" w:hAnsiTheme="minorHAnsi" w:hint="default"/>
        <w:b/>
        <w:color w:val="000000" w:themeColor="text1"/>
        <w:u w:color="000000" w:themeColor="text1"/>
      </w:rPr>
    </w:lvl>
    <w:lvl w:ilvl="2">
      <w:start w:val="1"/>
      <w:numFmt w:val="decimal"/>
      <w:pStyle w:val="Nadpis3"/>
      <w:lvlText w:val="%1.%2.%3."/>
      <w:lvlJc w:val="left"/>
      <w:pPr>
        <w:ind w:left="510" w:hanging="510"/>
      </w:pPr>
      <w:rPr>
        <w:rFonts w:asciiTheme="minorHAnsi" w:hAnsiTheme="minorHAnsi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7D5917DD"/>
    <w:multiLevelType w:val="multilevel"/>
    <w:tmpl w:val="698A40E4"/>
    <w:numStyleLink w:val="Style2"/>
  </w:abstractNum>
  <w:abstractNum w:abstractNumId="4" w15:restartNumberingAfterBreak="0">
    <w:nsid w:val="7F3607BE"/>
    <w:multiLevelType w:val="hybridMultilevel"/>
    <w:tmpl w:val="4624654C"/>
    <w:lvl w:ilvl="0" w:tplc="A8649DBE">
      <w:start w:val="1"/>
      <w:numFmt w:val="bullet"/>
      <w:pStyle w:val="Documentlists"/>
      <w:lvlText w:val=""/>
      <w:lvlJc w:val="left"/>
      <w:pPr>
        <w:ind w:left="720" w:hanging="493"/>
      </w:pPr>
      <w:rPr>
        <w:rFonts w:ascii="Wingdings" w:hAnsi="Wingdings" w:hint="default"/>
        <w:color w:val="005ADE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2"/>
    <w:rsid w:val="000025AB"/>
    <w:rsid w:val="00004D15"/>
    <w:rsid w:val="00013239"/>
    <w:rsid w:val="0001643A"/>
    <w:rsid w:val="0002072E"/>
    <w:rsid w:val="00020ADB"/>
    <w:rsid w:val="00021A98"/>
    <w:rsid w:val="00031547"/>
    <w:rsid w:val="0003269D"/>
    <w:rsid w:val="00033EB0"/>
    <w:rsid w:val="00035791"/>
    <w:rsid w:val="000379D6"/>
    <w:rsid w:val="00040CA5"/>
    <w:rsid w:val="00045B6B"/>
    <w:rsid w:val="00052FFE"/>
    <w:rsid w:val="000603CC"/>
    <w:rsid w:val="000612FC"/>
    <w:rsid w:val="0006617E"/>
    <w:rsid w:val="00067014"/>
    <w:rsid w:val="00070F5E"/>
    <w:rsid w:val="00084A53"/>
    <w:rsid w:val="00085A80"/>
    <w:rsid w:val="00087FB9"/>
    <w:rsid w:val="0009168F"/>
    <w:rsid w:val="0009188B"/>
    <w:rsid w:val="00093415"/>
    <w:rsid w:val="000A15A1"/>
    <w:rsid w:val="000A2A8C"/>
    <w:rsid w:val="000B1A48"/>
    <w:rsid w:val="000D3ED6"/>
    <w:rsid w:val="000D4577"/>
    <w:rsid w:val="000D45BF"/>
    <w:rsid w:val="000E1ACB"/>
    <w:rsid w:val="000E56AB"/>
    <w:rsid w:val="000F3893"/>
    <w:rsid w:val="000F66F2"/>
    <w:rsid w:val="00101B0D"/>
    <w:rsid w:val="00103635"/>
    <w:rsid w:val="00110B0E"/>
    <w:rsid w:val="0011227E"/>
    <w:rsid w:val="00113AB8"/>
    <w:rsid w:val="00121EB9"/>
    <w:rsid w:val="00123025"/>
    <w:rsid w:val="00123C04"/>
    <w:rsid w:val="00123C79"/>
    <w:rsid w:val="0012663D"/>
    <w:rsid w:val="00134969"/>
    <w:rsid w:val="001425AA"/>
    <w:rsid w:val="00143D36"/>
    <w:rsid w:val="00146689"/>
    <w:rsid w:val="001556A7"/>
    <w:rsid w:val="00160C21"/>
    <w:rsid w:val="00160DFB"/>
    <w:rsid w:val="00161FCA"/>
    <w:rsid w:val="00163296"/>
    <w:rsid w:val="00163960"/>
    <w:rsid w:val="00164ABA"/>
    <w:rsid w:val="00165581"/>
    <w:rsid w:val="00166FE6"/>
    <w:rsid w:val="001716ED"/>
    <w:rsid w:val="00171E71"/>
    <w:rsid w:val="00181FA1"/>
    <w:rsid w:val="00182799"/>
    <w:rsid w:val="00182A4F"/>
    <w:rsid w:val="00184EAB"/>
    <w:rsid w:val="00186501"/>
    <w:rsid w:val="00190440"/>
    <w:rsid w:val="001940B3"/>
    <w:rsid w:val="001A2F0A"/>
    <w:rsid w:val="001A387B"/>
    <w:rsid w:val="001A4EC7"/>
    <w:rsid w:val="001A6A98"/>
    <w:rsid w:val="001C2B6D"/>
    <w:rsid w:val="001C34A7"/>
    <w:rsid w:val="001C3F0D"/>
    <w:rsid w:val="001D16F1"/>
    <w:rsid w:val="001D36FC"/>
    <w:rsid w:val="001E21CA"/>
    <w:rsid w:val="001E4710"/>
    <w:rsid w:val="001E48A0"/>
    <w:rsid w:val="001E676E"/>
    <w:rsid w:val="001E7181"/>
    <w:rsid w:val="001F06D0"/>
    <w:rsid w:val="001F1737"/>
    <w:rsid w:val="001F1B70"/>
    <w:rsid w:val="001F2B63"/>
    <w:rsid w:val="001F4447"/>
    <w:rsid w:val="001F68CC"/>
    <w:rsid w:val="00200AE4"/>
    <w:rsid w:val="002037A6"/>
    <w:rsid w:val="002126C2"/>
    <w:rsid w:val="00213E03"/>
    <w:rsid w:val="002161D5"/>
    <w:rsid w:val="0022215F"/>
    <w:rsid w:val="002236D8"/>
    <w:rsid w:val="00225E4D"/>
    <w:rsid w:val="00226D00"/>
    <w:rsid w:val="00232BF1"/>
    <w:rsid w:val="00237CF2"/>
    <w:rsid w:val="002401A3"/>
    <w:rsid w:val="002518F7"/>
    <w:rsid w:val="00253553"/>
    <w:rsid w:val="00254095"/>
    <w:rsid w:val="002576A2"/>
    <w:rsid w:val="00257AD0"/>
    <w:rsid w:val="002600A0"/>
    <w:rsid w:val="002619C2"/>
    <w:rsid w:val="00265745"/>
    <w:rsid w:val="00271EFA"/>
    <w:rsid w:val="002817AE"/>
    <w:rsid w:val="002831AF"/>
    <w:rsid w:val="002877E7"/>
    <w:rsid w:val="002879CF"/>
    <w:rsid w:val="00290753"/>
    <w:rsid w:val="00293063"/>
    <w:rsid w:val="002A3866"/>
    <w:rsid w:val="002A780C"/>
    <w:rsid w:val="002A7BA8"/>
    <w:rsid w:val="002B0DE1"/>
    <w:rsid w:val="002B11E2"/>
    <w:rsid w:val="002B1C5A"/>
    <w:rsid w:val="002B3412"/>
    <w:rsid w:val="002B38FE"/>
    <w:rsid w:val="002B4651"/>
    <w:rsid w:val="002B5CF5"/>
    <w:rsid w:val="002B63AA"/>
    <w:rsid w:val="002C0F33"/>
    <w:rsid w:val="002C2356"/>
    <w:rsid w:val="002C380D"/>
    <w:rsid w:val="002C5302"/>
    <w:rsid w:val="002C6358"/>
    <w:rsid w:val="002D0021"/>
    <w:rsid w:val="002D0B9B"/>
    <w:rsid w:val="002D0CCC"/>
    <w:rsid w:val="002E0195"/>
    <w:rsid w:val="002F19B0"/>
    <w:rsid w:val="002F43D1"/>
    <w:rsid w:val="002F75FD"/>
    <w:rsid w:val="002F7BC4"/>
    <w:rsid w:val="00310644"/>
    <w:rsid w:val="00313BBE"/>
    <w:rsid w:val="00313CDB"/>
    <w:rsid w:val="00316392"/>
    <w:rsid w:val="003167B7"/>
    <w:rsid w:val="003227FA"/>
    <w:rsid w:val="0032544F"/>
    <w:rsid w:val="003303A3"/>
    <w:rsid w:val="00333605"/>
    <w:rsid w:val="003338C5"/>
    <w:rsid w:val="00333E5F"/>
    <w:rsid w:val="0033657F"/>
    <w:rsid w:val="00344780"/>
    <w:rsid w:val="00350347"/>
    <w:rsid w:val="00351B66"/>
    <w:rsid w:val="00361194"/>
    <w:rsid w:val="003621AF"/>
    <w:rsid w:val="003642AF"/>
    <w:rsid w:val="0036440D"/>
    <w:rsid w:val="00364EA6"/>
    <w:rsid w:val="0037333A"/>
    <w:rsid w:val="00377FDC"/>
    <w:rsid w:val="00384D2F"/>
    <w:rsid w:val="00384E2E"/>
    <w:rsid w:val="00386BF6"/>
    <w:rsid w:val="003944FD"/>
    <w:rsid w:val="00396A9D"/>
    <w:rsid w:val="003A03C5"/>
    <w:rsid w:val="003D0172"/>
    <w:rsid w:val="003D0F8B"/>
    <w:rsid w:val="003D6EB1"/>
    <w:rsid w:val="003E31DC"/>
    <w:rsid w:val="003F0CD8"/>
    <w:rsid w:val="003F1EDF"/>
    <w:rsid w:val="00400CD9"/>
    <w:rsid w:val="0040169A"/>
    <w:rsid w:val="00407FA9"/>
    <w:rsid w:val="00413345"/>
    <w:rsid w:val="00413976"/>
    <w:rsid w:val="00413DAF"/>
    <w:rsid w:val="004167DC"/>
    <w:rsid w:val="00417865"/>
    <w:rsid w:val="00426218"/>
    <w:rsid w:val="004303CF"/>
    <w:rsid w:val="00440384"/>
    <w:rsid w:val="004419A7"/>
    <w:rsid w:val="00441D88"/>
    <w:rsid w:val="00443888"/>
    <w:rsid w:val="00443AB0"/>
    <w:rsid w:val="004460E4"/>
    <w:rsid w:val="00446A42"/>
    <w:rsid w:val="00453EF2"/>
    <w:rsid w:val="004564B7"/>
    <w:rsid w:val="00460FB3"/>
    <w:rsid w:val="00461D32"/>
    <w:rsid w:val="004625CE"/>
    <w:rsid w:val="0046559B"/>
    <w:rsid w:val="00466ECB"/>
    <w:rsid w:val="004670B5"/>
    <w:rsid w:val="004673EA"/>
    <w:rsid w:val="0047577B"/>
    <w:rsid w:val="00486397"/>
    <w:rsid w:val="0048719C"/>
    <w:rsid w:val="00487CA3"/>
    <w:rsid w:val="00490694"/>
    <w:rsid w:val="00491609"/>
    <w:rsid w:val="004944FE"/>
    <w:rsid w:val="00497608"/>
    <w:rsid w:val="00497E31"/>
    <w:rsid w:val="004A058E"/>
    <w:rsid w:val="004A275E"/>
    <w:rsid w:val="004A298C"/>
    <w:rsid w:val="004A431C"/>
    <w:rsid w:val="004A4611"/>
    <w:rsid w:val="004B0EAA"/>
    <w:rsid w:val="004B2E0F"/>
    <w:rsid w:val="004B725C"/>
    <w:rsid w:val="004C4235"/>
    <w:rsid w:val="004C6E5A"/>
    <w:rsid w:val="004C7684"/>
    <w:rsid w:val="004D3BBE"/>
    <w:rsid w:val="004D47D0"/>
    <w:rsid w:val="004E2CDD"/>
    <w:rsid w:val="004E3313"/>
    <w:rsid w:val="004E5CF4"/>
    <w:rsid w:val="004F0212"/>
    <w:rsid w:val="00500A00"/>
    <w:rsid w:val="005055C1"/>
    <w:rsid w:val="005068F7"/>
    <w:rsid w:val="0051074B"/>
    <w:rsid w:val="00511133"/>
    <w:rsid w:val="0051283B"/>
    <w:rsid w:val="00513496"/>
    <w:rsid w:val="005140C4"/>
    <w:rsid w:val="0051598D"/>
    <w:rsid w:val="00516AC7"/>
    <w:rsid w:val="00520A63"/>
    <w:rsid w:val="00521516"/>
    <w:rsid w:val="0052364F"/>
    <w:rsid w:val="005241D2"/>
    <w:rsid w:val="00526AD6"/>
    <w:rsid w:val="0053310B"/>
    <w:rsid w:val="00535140"/>
    <w:rsid w:val="00535AE9"/>
    <w:rsid w:val="00535B3D"/>
    <w:rsid w:val="00537168"/>
    <w:rsid w:val="00542AB0"/>
    <w:rsid w:val="00544314"/>
    <w:rsid w:val="005459EA"/>
    <w:rsid w:val="0054605E"/>
    <w:rsid w:val="005534C6"/>
    <w:rsid w:val="00556171"/>
    <w:rsid w:val="0055695F"/>
    <w:rsid w:val="0055738A"/>
    <w:rsid w:val="00561F81"/>
    <w:rsid w:val="00563138"/>
    <w:rsid w:val="0057164E"/>
    <w:rsid w:val="00571BF8"/>
    <w:rsid w:val="00572019"/>
    <w:rsid w:val="00583E30"/>
    <w:rsid w:val="00587D5F"/>
    <w:rsid w:val="005961B5"/>
    <w:rsid w:val="005964C5"/>
    <w:rsid w:val="005A4457"/>
    <w:rsid w:val="005A6C07"/>
    <w:rsid w:val="005A7672"/>
    <w:rsid w:val="005A7BD7"/>
    <w:rsid w:val="005B22E9"/>
    <w:rsid w:val="005B2307"/>
    <w:rsid w:val="005B39B9"/>
    <w:rsid w:val="005B4916"/>
    <w:rsid w:val="005B630B"/>
    <w:rsid w:val="005B66D1"/>
    <w:rsid w:val="005C7743"/>
    <w:rsid w:val="005C7EC7"/>
    <w:rsid w:val="005D079B"/>
    <w:rsid w:val="005D1749"/>
    <w:rsid w:val="005D1A97"/>
    <w:rsid w:val="005D1FE0"/>
    <w:rsid w:val="005D5357"/>
    <w:rsid w:val="005D6017"/>
    <w:rsid w:val="005D7593"/>
    <w:rsid w:val="005E02C7"/>
    <w:rsid w:val="005E42BD"/>
    <w:rsid w:val="005E5FE0"/>
    <w:rsid w:val="005E6263"/>
    <w:rsid w:val="005F065A"/>
    <w:rsid w:val="005F3EE1"/>
    <w:rsid w:val="005F4220"/>
    <w:rsid w:val="006102AC"/>
    <w:rsid w:val="006113C5"/>
    <w:rsid w:val="00612ACC"/>
    <w:rsid w:val="0062459C"/>
    <w:rsid w:val="006334D9"/>
    <w:rsid w:val="00633559"/>
    <w:rsid w:val="006336CB"/>
    <w:rsid w:val="00633FCC"/>
    <w:rsid w:val="00635BEF"/>
    <w:rsid w:val="00643840"/>
    <w:rsid w:val="006467E9"/>
    <w:rsid w:val="00651B2C"/>
    <w:rsid w:val="00664A99"/>
    <w:rsid w:val="00664FF6"/>
    <w:rsid w:val="0066611F"/>
    <w:rsid w:val="00666D64"/>
    <w:rsid w:val="00670B25"/>
    <w:rsid w:val="00671602"/>
    <w:rsid w:val="00672759"/>
    <w:rsid w:val="00692009"/>
    <w:rsid w:val="0069214B"/>
    <w:rsid w:val="006A6C01"/>
    <w:rsid w:val="006A7FD2"/>
    <w:rsid w:val="006B0E48"/>
    <w:rsid w:val="006C201E"/>
    <w:rsid w:val="006C295C"/>
    <w:rsid w:val="006C635D"/>
    <w:rsid w:val="006C6DE1"/>
    <w:rsid w:val="006D1414"/>
    <w:rsid w:val="006D37C8"/>
    <w:rsid w:val="006D6429"/>
    <w:rsid w:val="006D65E2"/>
    <w:rsid w:val="006E1782"/>
    <w:rsid w:val="006E18AB"/>
    <w:rsid w:val="006F4ACE"/>
    <w:rsid w:val="006F5C87"/>
    <w:rsid w:val="006F7150"/>
    <w:rsid w:val="007008D4"/>
    <w:rsid w:val="0070166D"/>
    <w:rsid w:val="00705338"/>
    <w:rsid w:val="00705E1C"/>
    <w:rsid w:val="00710D89"/>
    <w:rsid w:val="00715482"/>
    <w:rsid w:val="00716EEA"/>
    <w:rsid w:val="00717923"/>
    <w:rsid w:val="00730428"/>
    <w:rsid w:val="007321A0"/>
    <w:rsid w:val="0073474B"/>
    <w:rsid w:val="00737B6D"/>
    <w:rsid w:val="00740EC1"/>
    <w:rsid w:val="00741ABB"/>
    <w:rsid w:val="00747524"/>
    <w:rsid w:val="00750DF3"/>
    <w:rsid w:val="00752346"/>
    <w:rsid w:val="00753010"/>
    <w:rsid w:val="00760D24"/>
    <w:rsid w:val="00767E20"/>
    <w:rsid w:val="00771A65"/>
    <w:rsid w:val="00772586"/>
    <w:rsid w:val="00774664"/>
    <w:rsid w:val="007750FB"/>
    <w:rsid w:val="00780556"/>
    <w:rsid w:val="00780AEC"/>
    <w:rsid w:val="0078111D"/>
    <w:rsid w:val="007870FD"/>
    <w:rsid w:val="007926F2"/>
    <w:rsid w:val="007B19A0"/>
    <w:rsid w:val="007B6468"/>
    <w:rsid w:val="007B671F"/>
    <w:rsid w:val="007B7601"/>
    <w:rsid w:val="007C2CB0"/>
    <w:rsid w:val="007C506F"/>
    <w:rsid w:val="007D3416"/>
    <w:rsid w:val="007D68F5"/>
    <w:rsid w:val="007D74F7"/>
    <w:rsid w:val="007E06A4"/>
    <w:rsid w:val="007E15F1"/>
    <w:rsid w:val="007E190F"/>
    <w:rsid w:val="007E3B2F"/>
    <w:rsid w:val="007E7471"/>
    <w:rsid w:val="007F0134"/>
    <w:rsid w:val="007F72C0"/>
    <w:rsid w:val="008018DD"/>
    <w:rsid w:val="00805736"/>
    <w:rsid w:val="008123FC"/>
    <w:rsid w:val="00817774"/>
    <w:rsid w:val="008231B8"/>
    <w:rsid w:val="00824A59"/>
    <w:rsid w:val="00834373"/>
    <w:rsid w:val="00835559"/>
    <w:rsid w:val="00836028"/>
    <w:rsid w:val="00845F05"/>
    <w:rsid w:val="00855605"/>
    <w:rsid w:val="00855B6F"/>
    <w:rsid w:val="00855CE9"/>
    <w:rsid w:val="00864206"/>
    <w:rsid w:val="00867A88"/>
    <w:rsid w:val="00871CF3"/>
    <w:rsid w:val="0087516D"/>
    <w:rsid w:val="00882678"/>
    <w:rsid w:val="008858FF"/>
    <w:rsid w:val="00892D96"/>
    <w:rsid w:val="00896740"/>
    <w:rsid w:val="008A4B70"/>
    <w:rsid w:val="008B6BB5"/>
    <w:rsid w:val="008C10C0"/>
    <w:rsid w:val="008C110A"/>
    <w:rsid w:val="008C4EA1"/>
    <w:rsid w:val="008D3B39"/>
    <w:rsid w:val="008D7685"/>
    <w:rsid w:val="008E1F1B"/>
    <w:rsid w:val="008E3658"/>
    <w:rsid w:val="008E6F73"/>
    <w:rsid w:val="00902AD1"/>
    <w:rsid w:val="0090346C"/>
    <w:rsid w:val="00903840"/>
    <w:rsid w:val="00915C54"/>
    <w:rsid w:val="00917102"/>
    <w:rsid w:val="00925D68"/>
    <w:rsid w:val="00926DDF"/>
    <w:rsid w:val="009360BB"/>
    <w:rsid w:val="00943581"/>
    <w:rsid w:val="009438B8"/>
    <w:rsid w:val="0094452A"/>
    <w:rsid w:val="009511CE"/>
    <w:rsid w:val="00952E5D"/>
    <w:rsid w:val="009556F9"/>
    <w:rsid w:val="00957ACF"/>
    <w:rsid w:val="00957BBD"/>
    <w:rsid w:val="009605E8"/>
    <w:rsid w:val="00960C8B"/>
    <w:rsid w:val="0096523E"/>
    <w:rsid w:val="009660B0"/>
    <w:rsid w:val="00966C3F"/>
    <w:rsid w:val="00970006"/>
    <w:rsid w:val="00970835"/>
    <w:rsid w:val="00971265"/>
    <w:rsid w:val="0097334B"/>
    <w:rsid w:val="009808B1"/>
    <w:rsid w:val="009816B1"/>
    <w:rsid w:val="0098486D"/>
    <w:rsid w:val="00991AC3"/>
    <w:rsid w:val="009920F4"/>
    <w:rsid w:val="009A43E2"/>
    <w:rsid w:val="009A4A49"/>
    <w:rsid w:val="009C0231"/>
    <w:rsid w:val="009C07FD"/>
    <w:rsid w:val="009C2A81"/>
    <w:rsid w:val="009C3A61"/>
    <w:rsid w:val="009C5FFB"/>
    <w:rsid w:val="009C7C5A"/>
    <w:rsid w:val="009C7ED3"/>
    <w:rsid w:val="009D2CD7"/>
    <w:rsid w:val="009D6807"/>
    <w:rsid w:val="009E10FD"/>
    <w:rsid w:val="009E2BB7"/>
    <w:rsid w:val="009E4C77"/>
    <w:rsid w:val="009F10AD"/>
    <w:rsid w:val="009F412D"/>
    <w:rsid w:val="00A00673"/>
    <w:rsid w:val="00A04DBB"/>
    <w:rsid w:val="00A0775C"/>
    <w:rsid w:val="00A13769"/>
    <w:rsid w:val="00A137EF"/>
    <w:rsid w:val="00A1456A"/>
    <w:rsid w:val="00A170BB"/>
    <w:rsid w:val="00A1770A"/>
    <w:rsid w:val="00A251C1"/>
    <w:rsid w:val="00A26F8E"/>
    <w:rsid w:val="00A43E7E"/>
    <w:rsid w:val="00A43F20"/>
    <w:rsid w:val="00A45B9B"/>
    <w:rsid w:val="00A466D8"/>
    <w:rsid w:val="00A471A6"/>
    <w:rsid w:val="00A52DAD"/>
    <w:rsid w:val="00A53007"/>
    <w:rsid w:val="00A55D66"/>
    <w:rsid w:val="00A61E01"/>
    <w:rsid w:val="00A64A22"/>
    <w:rsid w:val="00A65D39"/>
    <w:rsid w:val="00A666EC"/>
    <w:rsid w:val="00A7018D"/>
    <w:rsid w:val="00A808E1"/>
    <w:rsid w:val="00A8341A"/>
    <w:rsid w:val="00A86DA3"/>
    <w:rsid w:val="00A872F9"/>
    <w:rsid w:val="00A87762"/>
    <w:rsid w:val="00A90ACA"/>
    <w:rsid w:val="00AA0E88"/>
    <w:rsid w:val="00AA298B"/>
    <w:rsid w:val="00AA5F50"/>
    <w:rsid w:val="00AA66F3"/>
    <w:rsid w:val="00AA717D"/>
    <w:rsid w:val="00AA7F64"/>
    <w:rsid w:val="00AB10E2"/>
    <w:rsid w:val="00AD549B"/>
    <w:rsid w:val="00AD5C06"/>
    <w:rsid w:val="00AD68D8"/>
    <w:rsid w:val="00AD6E80"/>
    <w:rsid w:val="00AD7CC0"/>
    <w:rsid w:val="00AE2E20"/>
    <w:rsid w:val="00AE3C2F"/>
    <w:rsid w:val="00AF150C"/>
    <w:rsid w:val="00AF5278"/>
    <w:rsid w:val="00AF6107"/>
    <w:rsid w:val="00B0289D"/>
    <w:rsid w:val="00B10320"/>
    <w:rsid w:val="00B17892"/>
    <w:rsid w:val="00B346B1"/>
    <w:rsid w:val="00B373B8"/>
    <w:rsid w:val="00B41544"/>
    <w:rsid w:val="00B44726"/>
    <w:rsid w:val="00B452C2"/>
    <w:rsid w:val="00B46998"/>
    <w:rsid w:val="00B474EE"/>
    <w:rsid w:val="00B545A0"/>
    <w:rsid w:val="00B601D0"/>
    <w:rsid w:val="00B61A94"/>
    <w:rsid w:val="00B6251C"/>
    <w:rsid w:val="00B65A95"/>
    <w:rsid w:val="00B67A6B"/>
    <w:rsid w:val="00B70C61"/>
    <w:rsid w:val="00B7250A"/>
    <w:rsid w:val="00B72538"/>
    <w:rsid w:val="00B74BDF"/>
    <w:rsid w:val="00B760BB"/>
    <w:rsid w:val="00B7692C"/>
    <w:rsid w:val="00B8476D"/>
    <w:rsid w:val="00B87231"/>
    <w:rsid w:val="00B87498"/>
    <w:rsid w:val="00B94535"/>
    <w:rsid w:val="00BA4771"/>
    <w:rsid w:val="00BA6EA7"/>
    <w:rsid w:val="00BA7D41"/>
    <w:rsid w:val="00BB5D04"/>
    <w:rsid w:val="00BB61E2"/>
    <w:rsid w:val="00BC11A8"/>
    <w:rsid w:val="00BC4664"/>
    <w:rsid w:val="00BC7277"/>
    <w:rsid w:val="00BD4386"/>
    <w:rsid w:val="00BD5E1B"/>
    <w:rsid w:val="00BD5F5D"/>
    <w:rsid w:val="00BD5FAA"/>
    <w:rsid w:val="00BD6364"/>
    <w:rsid w:val="00BE0FCD"/>
    <w:rsid w:val="00BE162A"/>
    <w:rsid w:val="00BE1A72"/>
    <w:rsid w:val="00BE2EBC"/>
    <w:rsid w:val="00BE423C"/>
    <w:rsid w:val="00BE68A7"/>
    <w:rsid w:val="00BF2223"/>
    <w:rsid w:val="00BF7FA8"/>
    <w:rsid w:val="00C00DC5"/>
    <w:rsid w:val="00C11C70"/>
    <w:rsid w:val="00C133E3"/>
    <w:rsid w:val="00C155AC"/>
    <w:rsid w:val="00C1561A"/>
    <w:rsid w:val="00C162DC"/>
    <w:rsid w:val="00C201D1"/>
    <w:rsid w:val="00C21966"/>
    <w:rsid w:val="00C21DB8"/>
    <w:rsid w:val="00C3098A"/>
    <w:rsid w:val="00C33FCA"/>
    <w:rsid w:val="00C346B9"/>
    <w:rsid w:val="00C36C9A"/>
    <w:rsid w:val="00C5100F"/>
    <w:rsid w:val="00C5489A"/>
    <w:rsid w:val="00C573A3"/>
    <w:rsid w:val="00C6175F"/>
    <w:rsid w:val="00C6391B"/>
    <w:rsid w:val="00C70E3D"/>
    <w:rsid w:val="00C76C42"/>
    <w:rsid w:val="00C8593D"/>
    <w:rsid w:val="00C87F63"/>
    <w:rsid w:val="00C90CBA"/>
    <w:rsid w:val="00C94E60"/>
    <w:rsid w:val="00CA47B7"/>
    <w:rsid w:val="00CA53ED"/>
    <w:rsid w:val="00CB0B47"/>
    <w:rsid w:val="00CB2562"/>
    <w:rsid w:val="00CB39A3"/>
    <w:rsid w:val="00CB7894"/>
    <w:rsid w:val="00CC0E90"/>
    <w:rsid w:val="00CC201D"/>
    <w:rsid w:val="00CC2DF0"/>
    <w:rsid w:val="00CC51A2"/>
    <w:rsid w:val="00CC5DCD"/>
    <w:rsid w:val="00CD36D6"/>
    <w:rsid w:val="00CD66A2"/>
    <w:rsid w:val="00CD6F26"/>
    <w:rsid w:val="00CD76D2"/>
    <w:rsid w:val="00CD78FF"/>
    <w:rsid w:val="00CE7DD4"/>
    <w:rsid w:val="00CF097F"/>
    <w:rsid w:val="00CF1E65"/>
    <w:rsid w:val="00D01109"/>
    <w:rsid w:val="00D01BF1"/>
    <w:rsid w:val="00D105DB"/>
    <w:rsid w:val="00D161C0"/>
    <w:rsid w:val="00D16968"/>
    <w:rsid w:val="00D20659"/>
    <w:rsid w:val="00D21232"/>
    <w:rsid w:val="00D25886"/>
    <w:rsid w:val="00D35EFE"/>
    <w:rsid w:val="00D46FC7"/>
    <w:rsid w:val="00D544F1"/>
    <w:rsid w:val="00D552A9"/>
    <w:rsid w:val="00D55F29"/>
    <w:rsid w:val="00D63010"/>
    <w:rsid w:val="00D63078"/>
    <w:rsid w:val="00D631B0"/>
    <w:rsid w:val="00D671B1"/>
    <w:rsid w:val="00D72317"/>
    <w:rsid w:val="00D728C4"/>
    <w:rsid w:val="00D8048B"/>
    <w:rsid w:val="00D82FE0"/>
    <w:rsid w:val="00D844D6"/>
    <w:rsid w:val="00D91589"/>
    <w:rsid w:val="00D924B0"/>
    <w:rsid w:val="00D926CA"/>
    <w:rsid w:val="00D927DA"/>
    <w:rsid w:val="00D9382B"/>
    <w:rsid w:val="00D94A61"/>
    <w:rsid w:val="00D95416"/>
    <w:rsid w:val="00D9570B"/>
    <w:rsid w:val="00DA36EE"/>
    <w:rsid w:val="00DB5AA6"/>
    <w:rsid w:val="00DB6B6C"/>
    <w:rsid w:val="00DC2844"/>
    <w:rsid w:val="00DC2CF7"/>
    <w:rsid w:val="00DC5FE6"/>
    <w:rsid w:val="00DD2B22"/>
    <w:rsid w:val="00DD44BF"/>
    <w:rsid w:val="00DD7A38"/>
    <w:rsid w:val="00DE6347"/>
    <w:rsid w:val="00DE6914"/>
    <w:rsid w:val="00DF029E"/>
    <w:rsid w:val="00DF2AAE"/>
    <w:rsid w:val="00DF3461"/>
    <w:rsid w:val="00DF54B4"/>
    <w:rsid w:val="00DF755C"/>
    <w:rsid w:val="00E03656"/>
    <w:rsid w:val="00E06936"/>
    <w:rsid w:val="00E103DC"/>
    <w:rsid w:val="00E10D05"/>
    <w:rsid w:val="00E11EBF"/>
    <w:rsid w:val="00E1278C"/>
    <w:rsid w:val="00E15B7E"/>
    <w:rsid w:val="00E169D3"/>
    <w:rsid w:val="00E16D95"/>
    <w:rsid w:val="00E21EB3"/>
    <w:rsid w:val="00E22FF4"/>
    <w:rsid w:val="00E26DAE"/>
    <w:rsid w:val="00E313CF"/>
    <w:rsid w:val="00E33E35"/>
    <w:rsid w:val="00E53744"/>
    <w:rsid w:val="00E55405"/>
    <w:rsid w:val="00E620DC"/>
    <w:rsid w:val="00E6295A"/>
    <w:rsid w:val="00E62984"/>
    <w:rsid w:val="00E63EE0"/>
    <w:rsid w:val="00E66101"/>
    <w:rsid w:val="00E70EA7"/>
    <w:rsid w:val="00E75860"/>
    <w:rsid w:val="00E8117F"/>
    <w:rsid w:val="00E83DB0"/>
    <w:rsid w:val="00E83E98"/>
    <w:rsid w:val="00E86376"/>
    <w:rsid w:val="00E87181"/>
    <w:rsid w:val="00E944D5"/>
    <w:rsid w:val="00E97432"/>
    <w:rsid w:val="00EA49DA"/>
    <w:rsid w:val="00EA6B37"/>
    <w:rsid w:val="00EB3C1B"/>
    <w:rsid w:val="00EB70F6"/>
    <w:rsid w:val="00EC034A"/>
    <w:rsid w:val="00EC32C4"/>
    <w:rsid w:val="00EC361C"/>
    <w:rsid w:val="00EC786F"/>
    <w:rsid w:val="00ED33B0"/>
    <w:rsid w:val="00ED6189"/>
    <w:rsid w:val="00EE0009"/>
    <w:rsid w:val="00EE099E"/>
    <w:rsid w:val="00EE4F52"/>
    <w:rsid w:val="00EE6C32"/>
    <w:rsid w:val="00EE6C9F"/>
    <w:rsid w:val="00EF0E7F"/>
    <w:rsid w:val="00EF1049"/>
    <w:rsid w:val="00EF34E4"/>
    <w:rsid w:val="00F0650C"/>
    <w:rsid w:val="00F0675F"/>
    <w:rsid w:val="00F1125B"/>
    <w:rsid w:val="00F12168"/>
    <w:rsid w:val="00F12AD8"/>
    <w:rsid w:val="00F14F04"/>
    <w:rsid w:val="00F206B1"/>
    <w:rsid w:val="00F2714A"/>
    <w:rsid w:val="00F30ADA"/>
    <w:rsid w:val="00F31474"/>
    <w:rsid w:val="00F338F4"/>
    <w:rsid w:val="00F35B21"/>
    <w:rsid w:val="00F3690B"/>
    <w:rsid w:val="00F36923"/>
    <w:rsid w:val="00F37CE0"/>
    <w:rsid w:val="00F400AF"/>
    <w:rsid w:val="00F434E1"/>
    <w:rsid w:val="00F444D9"/>
    <w:rsid w:val="00F45028"/>
    <w:rsid w:val="00F512CE"/>
    <w:rsid w:val="00F54086"/>
    <w:rsid w:val="00F564D7"/>
    <w:rsid w:val="00F64C59"/>
    <w:rsid w:val="00F65429"/>
    <w:rsid w:val="00F654E5"/>
    <w:rsid w:val="00F67E3B"/>
    <w:rsid w:val="00F714F1"/>
    <w:rsid w:val="00F77843"/>
    <w:rsid w:val="00F90C8C"/>
    <w:rsid w:val="00F952DF"/>
    <w:rsid w:val="00F97CA3"/>
    <w:rsid w:val="00FA4109"/>
    <w:rsid w:val="00FA70D0"/>
    <w:rsid w:val="00FB1171"/>
    <w:rsid w:val="00FB2036"/>
    <w:rsid w:val="00FB61FE"/>
    <w:rsid w:val="00FB7D1C"/>
    <w:rsid w:val="00FC1C24"/>
    <w:rsid w:val="00FC62F9"/>
    <w:rsid w:val="00FC7AD4"/>
    <w:rsid w:val="00FD2CBF"/>
    <w:rsid w:val="00FE2BBA"/>
    <w:rsid w:val="00FE7F6C"/>
    <w:rsid w:val="00FF3B1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C8D2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4E1"/>
    <w:pPr>
      <w:spacing w:after="0" w:line="249" w:lineRule="atLeast"/>
    </w:pPr>
    <w:rPr>
      <w:rFonts w:ascii="ABB Neue Helvetica Light" w:hAnsi="ABB Neue Helvetica Light"/>
      <w:sz w:val="20"/>
      <w:lang w:val="de-DE"/>
    </w:rPr>
  </w:style>
  <w:style w:type="paragraph" w:styleId="Nadpis1">
    <w:name w:val="heading 1"/>
    <w:basedOn w:val="ListParagraph1"/>
    <w:next w:val="Normln"/>
    <w:link w:val="Nadpis1Char"/>
    <w:qFormat/>
    <w:rsid w:val="005E42BD"/>
    <w:pPr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E7471"/>
    <w:pPr>
      <w:numPr>
        <w:ilvl w:val="1"/>
        <w:numId w:val="3"/>
      </w:numPr>
      <w:ind w:left="454" w:hanging="454"/>
      <w:outlineLvl w:val="1"/>
    </w:pPr>
    <w:rPr>
      <w:rFonts w:ascii="ABB Neue Helvetica Medium" w:eastAsia="Arial" w:hAnsi="ABB Neue Helvetica Medium" w:cs="Arial"/>
      <w:color w:val="000000" w:themeColor="text1"/>
      <w:sz w:val="22"/>
      <w:lang w:val="en-US"/>
    </w:rPr>
  </w:style>
  <w:style w:type="paragraph" w:styleId="Nadpis3">
    <w:name w:val="heading 3"/>
    <w:basedOn w:val="Nadpis2"/>
    <w:next w:val="Normln"/>
    <w:link w:val="Nadpis3Char"/>
    <w:unhideWhenUsed/>
    <w:qFormat/>
    <w:rsid w:val="00BE423C"/>
    <w:pPr>
      <w:numPr>
        <w:ilvl w:val="2"/>
      </w:numPr>
      <w:ind w:left="454" w:hanging="454"/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7E7471"/>
    <w:pPr>
      <w:keepNext/>
      <w:keepLines/>
      <w:spacing w:before="200" w:line="276" w:lineRule="auto"/>
      <w:outlineLvl w:val="3"/>
    </w:pPr>
    <w:rPr>
      <w:rFonts w:ascii="ABB Neue Helvetica Medium" w:eastAsiaTheme="majorEastAsia" w:hAnsi="ABB Neue Helvetica Medium" w:cstheme="majorBidi"/>
      <w:bCs/>
      <w:iCs/>
      <w:lang w:val="en-US"/>
    </w:rPr>
  </w:style>
  <w:style w:type="paragraph" w:styleId="Nadpis5">
    <w:name w:val="heading 5"/>
    <w:basedOn w:val="Normln"/>
    <w:next w:val="Normln"/>
    <w:link w:val="Nadpis5Char"/>
    <w:qFormat/>
    <w:rsid w:val="009E2BB7"/>
    <w:pPr>
      <w:keepNext/>
      <w:tabs>
        <w:tab w:val="left" w:pos="252"/>
      </w:tabs>
      <w:autoSpaceDE w:val="0"/>
      <w:autoSpaceDN w:val="0"/>
      <w:adjustRightInd w:val="0"/>
      <w:spacing w:line="240" w:lineRule="atLeast"/>
      <w:outlineLvl w:val="4"/>
    </w:pPr>
    <w:rPr>
      <w:rFonts w:ascii="Garamond" w:eastAsia="Times New Roman" w:hAnsi="Garamond" w:cs="Times New Roman"/>
      <w:b/>
      <w:bCs/>
      <w:sz w:val="24"/>
      <w:szCs w:val="24"/>
      <w:lang w:val="en-US"/>
    </w:rPr>
  </w:style>
  <w:style w:type="paragraph" w:styleId="Nadpis6">
    <w:name w:val="heading 6"/>
    <w:basedOn w:val="Normln"/>
    <w:next w:val="Normln"/>
    <w:link w:val="Nadpis6Char"/>
    <w:qFormat/>
    <w:rsid w:val="009E2BB7"/>
    <w:pPr>
      <w:keepNext/>
      <w:autoSpaceDE w:val="0"/>
      <w:autoSpaceDN w:val="0"/>
      <w:adjustRightInd w:val="0"/>
      <w:spacing w:before="240" w:line="240" w:lineRule="atLeast"/>
      <w:jc w:val="center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Nadpis7">
    <w:name w:val="heading 7"/>
    <w:basedOn w:val="Normln"/>
    <w:next w:val="Normln"/>
    <w:link w:val="Nadpis7Char"/>
    <w:qFormat/>
    <w:rsid w:val="009E2BB7"/>
    <w:pPr>
      <w:keepNext/>
      <w:tabs>
        <w:tab w:val="left" w:pos="252"/>
      </w:tabs>
      <w:spacing w:line="240" w:lineRule="auto"/>
      <w:outlineLvl w:val="6"/>
    </w:pPr>
    <w:rPr>
      <w:rFonts w:ascii="Arial" w:eastAsia="Times New Roman" w:hAnsi="Arial" w:cs="Arial"/>
      <w:b/>
      <w:bCs/>
      <w:sz w:val="22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1A72"/>
    <w:pPr>
      <w:spacing w:line="240" w:lineRule="auto"/>
    </w:pPr>
    <w:rPr>
      <w:rFonts w:ascii="Tahoma" w:hAnsi="Tahoma" w:cs="Tahoma"/>
      <w:color w:val="000000" w:themeColor="text1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A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D45BF"/>
    <w:pPr>
      <w:tabs>
        <w:tab w:val="center" w:pos="4703"/>
        <w:tab w:val="right" w:pos="9406"/>
      </w:tabs>
      <w:spacing w:line="240" w:lineRule="auto"/>
    </w:pPr>
    <w:rPr>
      <w:color w:val="000000" w:themeColor="text1"/>
      <w:sz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0D45BF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E1A72"/>
    <w:pPr>
      <w:tabs>
        <w:tab w:val="center" w:pos="4703"/>
        <w:tab w:val="right" w:pos="9406"/>
      </w:tabs>
      <w:spacing w:line="240" w:lineRule="auto"/>
    </w:pPr>
    <w:rPr>
      <w:color w:val="000000" w:themeColor="text1"/>
      <w:sz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E1A72"/>
  </w:style>
  <w:style w:type="table" w:styleId="Mkatabulky">
    <w:name w:val="Table Grid"/>
    <w:basedOn w:val="Normlntabulka"/>
    <w:uiPriority w:val="59"/>
    <w:rsid w:val="0029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675F"/>
    <w:rPr>
      <w:color w:val="808080"/>
    </w:rPr>
  </w:style>
  <w:style w:type="paragraph" w:styleId="Bezmezer">
    <w:name w:val="No Spacing"/>
    <w:link w:val="BezmezerChar"/>
    <w:uiPriority w:val="1"/>
    <w:qFormat/>
    <w:rsid w:val="006E18AB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customStyle="1" w:styleId="BezmezerChar">
    <w:name w:val="Bez mezer Char"/>
    <w:basedOn w:val="Standardnpsmoodstavce"/>
    <w:link w:val="Bezmezer"/>
    <w:uiPriority w:val="1"/>
    <w:rsid w:val="006E18AB"/>
    <w:rPr>
      <w:rFonts w:eastAsiaTheme="minorEastAsia"/>
      <w:color w:val="000000" w:themeColor="text1"/>
      <w:lang w:eastAsia="ja-JP"/>
    </w:rPr>
  </w:style>
  <w:style w:type="paragraph" w:customStyle="1" w:styleId="ListParagraph1">
    <w:name w:val="List Paragraph1"/>
    <w:basedOn w:val="Normln"/>
    <w:next w:val="Odstavecseseznamem"/>
    <w:uiPriority w:val="34"/>
    <w:rsid w:val="005E42BD"/>
    <w:pPr>
      <w:numPr>
        <w:numId w:val="3"/>
      </w:numPr>
      <w:contextualSpacing/>
    </w:pPr>
    <w:rPr>
      <w:color w:val="000000" w:themeColor="text1"/>
    </w:rPr>
  </w:style>
  <w:style w:type="paragraph" w:customStyle="1" w:styleId="BulletPoint02">
    <w:name w:val="Bullet Point 02"/>
    <w:basedOn w:val="Normln"/>
    <w:qFormat/>
    <w:rsid w:val="00EC034A"/>
    <w:pPr>
      <w:numPr>
        <w:ilvl w:val="1"/>
        <w:numId w:val="1"/>
      </w:numPr>
      <w:tabs>
        <w:tab w:val="left" w:pos="-3780"/>
      </w:tabs>
      <w:spacing w:line="250" w:lineRule="atLeast"/>
      <w:ind w:left="568" w:hanging="284"/>
    </w:pPr>
    <w:rPr>
      <w:rFonts w:cs="Arial"/>
      <w:noProof/>
      <w:color w:val="000000" w:themeColor="text1"/>
      <w:szCs w:val="18"/>
      <w:lang w:val="en-US"/>
    </w:rPr>
  </w:style>
  <w:style w:type="numbering" w:customStyle="1" w:styleId="Style2">
    <w:name w:val="Style2"/>
    <w:uiPriority w:val="99"/>
    <w:rsid w:val="005E42BD"/>
    <w:pPr>
      <w:numPr>
        <w:numId w:val="2"/>
      </w:numPr>
    </w:pPr>
  </w:style>
  <w:style w:type="paragraph" w:styleId="Odstavecseseznamem">
    <w:name w:val="List Paragraph"/>
    <w:basedOn w:val="Normln"/>
    <w:uiPriority w:val="99"/>
    <w:qFormat/>
    <w:rsid w:val="00FA4109"/>
    <w:pPr>
      <w:spacing w:after="200" w:line="276" w:lineRule="auto"/>
      <w:ind w:left="720"/>
      <w:contextualSpacing/>
    </w:pPr>
    <w:rPr>
      <w:color w:val="000000" w:themeColor="text1"/>
      <w:lang w:val="en-US"/>
    </w:rPr>
  </w:style>
  <w:style w:type="character" w:customStyle="1" w:styleId="Nadpis1Char">
    <w:name w:val="Nadpis 1 Char"/>
    <w:basedOn w:val="Standardnpsmoodstavce"/>
    <w:link w:val="Nadpis1"/>
    <w:rsid w:val="005E42BD"/>
    <w:rPr>
      <w:color w:val="000000" w:themeColor="text1"/>
      <w:sz w:val="28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rsid w:val="007E7471"/>
    <w:rPr>
      <w:rFonts w:ascii="ABB Neue Helvetica Medium" w:eastAsia="Arial" w:hAnsi="ABB Neue Helvetica Medium" w:cs="Arial"/>
      <w:color w:val="000000" w:themeColor="text1"/>
    </w:rPr>
  </w:style>
  <w:style w:type="paragraph" w:styleId="Nzev">
    <w:name w:val="Title"/>
    <w:basedOn w:val="Normln"/>
    <w:next w:val="Normln"/>
    <w:link w:val="NzevChar"/>
    <w:uiPriority w:val="10"/>
    <w:qFormat/>
    <w:rsid w:val="007E7471"/>
    <w:pPr>
      <w:spacing w:after="60" w:line="240" w:lineRule="auto"/>
    </w:pPr>
    <w:rPr>
      <w:color w:val="005ADE" w:themeColor="accent1"/>
      <w:sz w:val="24"/>
      <w:lang w:val="en-US" w:eastAsia="de-CH"/>
    </w:rPr>
  </w:style>
  <w:style w:type="character" w:customStyle="1" w:styleId="NzevChar">
    <w:name w:val="Název Char"/>
    <w:basedOn w:val="Standardnpsmoodstavce"/>
    <w:link w:val="Nzev"/>
    <w:uiPriority w:val="10"/>
    <w:rsid w:val="007E7471"/>
    <w:rPr>
      <w:rFonts w:ascii="ABB Neue Helvetica Light" w:hAnsi="ABB Neue Helvetica Light"/>
      <w:color w:val="005ADE" w:themeColor="accent1"/>
      <w:sz w:val="24"/>
      <w:lang w:eastAsia="de-CH"/>
    </w:rPr>
  </w:style>
  <w:style w:type="paragraph" w:styleId="Podtitul">
    <w:name w:val="Subtitle"/>
    <w:basedOn w:val="Nzev"/>
    <w:next w:val="Normln"/>
    <w:link w:val="PodtitulChar"/>
    <w:uiPriority w:val="11"/>
    <w:qFormat/>
    <w:rsid w:val="00CB2562"/>
    <w:rPr>
      <w:color w:val="5BD8FF" w:themeColor="accent3"/>
    </w:rPr>
  </w:style>
  <w:style w:type="character" w:customStyle="1" w:styleId="PodtitulChar">
    <w:name w:val="Podtitul Char"/>
    <w:basedOn w:val="Standardnpsmoodstavce"/>
    <w:link w:val="Podtitul"/>
    <w:uiPriority w:val="11"/>
    <w:rsid w:val="00CB2562"/>
    <w:rPr>
      <w:color w:val="5BD8FF" w:themeColor="accent3"/>
      <w:sz w:val="36"/>
    </w:rPr>
  </w:style>
  <w:style w:type="paragraph" w:customStyle="1" w:styleId="BulletPoint01">
    <w:name w:val="Bullet Point 01"/>
    <w:basedOn w:val="Normln"/>
    <w:qFormat/>
    <w:rsid w:val="00EC034A"/>
    <w:pPr>
      <w:numPr>
        <w:numId w:val="1"/>
      </w:numPr>
      <w:tabs>
        <w:tab w:val="left" w:pos="-3780"/>
      </w:tabs>
      <w:spacing w:line="250" w:lineRule="atLeast"/>
      <w:ind w:left="210" w:hanging="210"/>
    </w:pPr>
    <w:rPr>
      <w:rFonts w:ascii="Arial" w:eastAsia="Arial" w:hAnsi="Arial" w:cs="Arial"/>
      <w:noProof/>
      <w:color w:val="000000" w:themeColor="text1"/>
      <w:szCs w:val="18"/>
      <w:lang w:val="en-US"/>
    </w:rPr>
  </w:style>
  <w:style w:type="paragraph" w:customStyle="1" w:styleId="Text">
    <w:name w:val="Text"/>
    <w:basedOn w:val="Normln"/>
    <w:qFormat/>
    <w:rsid w:val="006E18AB"/>
    <w:pPr>
      <w:spacing w:line="250" w:lineRule="atLeast"/>
    </w:pPr>
    <w:rPr>
      <w:rFonts w:ascii="Arial" w:eastAsia="Arial" w:hAnsi="Arial" w:cs="Arial"/>
      <w:color w:val="000000" w:themeColor="text1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BE423C"/>
    <w:rPr>
      <w:rFonts w:ascii="Arial" w:eastAsia="Arial" w:hAnsi="Arial" w:cs="Arial"/>
      <w:b/>
      <w:color w:val="000000" w:themeColor="text1"/>
      <w:sz w:val="1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3B8"/>
    <w:pPr>
      <w:tabs>
        <w:tab w:val="left" w:pos="-2410"/>
        <w:tab w:val="right" w:pos="9639"/>
      </w:tabs>
      <w:spacing w:line="341" w:lineRule="auto"/>
      <w:ind w:left="709" w:hanging="425"/>
    </w:pPr>
    <w:rPr>
      <w:rFonts w:cstheme="minorHAnsi"/>
      <w:b/>
      <w:bCs/>
      <w:noProof/>
      <w:color w:val="000000" w:themeColor="text1"/>
      <w:szCs w:val="20"/>
      <w:lang w:val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3B8"/>
    <w:pPr>
      <w:tabs>
        <w:tab w:val="left" w:pos="-3828"/>
        <w:tab w:val="left" w:pos="-3544"/>
        <w:tab w:val="right" w:pos="9639"/>
      </w:tabs>
      <w:spacing w:line="250" w:lineRule="atLeast"/>
      <w:ind w:left="709" w:hanging="425"/>
      <w:outlineLvl w:val="0"/>
    </w:pPr>
    <w:rPr>
      <w:rFonts w:cstheme="minorHAnsi"/>
      <w:iCs/>
      <w:noProof/>
      <w:color w:val="000000" w:themeColor="text1"/>
      <w:szCs w:val="18"/>
      <w:lang w:val="en-US"/>
    </w:rPr>
  </w:style>
  <w:style w:type="paragraph" w:styleId="Obsah3">
    <w:name w:val="toc 3"/>
    <w:basedOn w:val="Obsah2"/>
    <w:next w:val="Normln"/>
    <w:autoRedefine/>
    <w:uiPriority w:val="39"/>
    <w:unhideWhenUsed/>
    <w:qFormat/>
    <w:rsid w:val="00B373B8"/>
  </w:style>
  <w:style w:type="paragraph" w:styleId="Obsah4">
    <w:name w:val="toc 4"/>
    <w:basedOn w:val="Normln"/>
    <w:next w:val="Normln"/>
    <w:autoRedefine/>
    <w:uiPriority w:val="39"/>
    <w:unhideWhenUsed/>
    <w:rsid w:val="00AA298B"/>
    <w:pPr>
      <w:spacing w:line="276" w:lineRule="auto"/>
      <w:ind w:left="660"/>
    </w:pPr>
    <w:rPr>
      <w:rFonts w:cstheme="minorHAnsi"/>
      <w:color w:val="000000" w:themeColor="text1"/>
      <w:szCs w:val="20"/>
      <w:lang w:val="en-US"/>
    </w:rPr>
  </w:style>
  <w:style w:type="paragraph" w:styleId="Obsah5">
    <w:name w:val="toc 5"/>
    <w:basedOn w:val="Normln"/>
    <w:next w:val="Normln"/>
    <w:autoRedefine/>
    <w:uiPriority w:val="39"/>
    <w:unhideWhenUsed/>
    <w:rsid w:val="00AA298B"/>
    <w:pPr>
      <w:spacing w:line="276" w:lineRule="auto"/>
      <w:ind w:left="880"/>
    </w:pPr>
    <w:rPr>
      <w:rFonts w:cstheme="minorHAnsi"/>
      <w:color w:val="000000" w:themeColor="text1"/>
      <w:szCs w:val="20"/>
      <w:lang w:val="en-US"/>
    </w:rPr>
  </w:style>
  <w:style w:type="paragraph" w:styleId="Obsah6">
    <w:name w:val="toc 6"/>
    <w:basedOn w:val="Normln"/>
    <w:next w:val="Normln"/>
    <w:autoRedefine/>
    <w:unhideWhenUsed/>
    <w:rsid w:val="00AA298B"/>
    <w:pPr>
      <w:spacing w:line="276" w:lineRule="auto"/>
      <w:ind w:left="1100"/>
    </w:pPr>
    <w:rPr>
      <w:rFonts w:cstheme="minorHAnsi"/>
      <w:color w:val="000000" w:themeColor="text1"/>
      <w:szCs w:val="20"/>
      <w:lang w:val="en-US"/>
    </w:rPr>
  </w:style>
  <w:style w:type="paragraph" w:styleId="Obsah7">
    <w:name w:val="toc 7"/>
    <w:basedOn w:val="Normln"/>
    <w:next w:val="Normln"/>
    <w:autoRedefine/>
    <w:uiPriority w:val="39"/>
    <w:unhideWhenUsed/>
    <w:rsid w:val="00AA298B"/>
    <w:pPr>
      <w:spacing w:line="276" w:lineRule="auto"/>
      <w:ind w:left="1320"/>
    </w:pPr>
    <w:rPr>
      <w:rFonts w:cstheme="minorHAnsi"/>
      <w:color w:val="000000" w:themeColor="text1"/>
      <w:szCs w:val="20"/>
      <w:lang w:val="en-US"/>
    </w:rPr>
  </w:style>
  <w:style w:type="paragraph" w:styleId="Obsah8">
    <w:name w:val="toc 8"/>
    <w:basedOn w:val="Normln"/>
    <w:next w:val="Normln"/>
    <w:autoRedefine/>
    <w:uiPriority w:val="39"/>
    <w:unhideWhenUsed/>
    <w:rsid w:val="00AA298B"/>
    <w:pPr>
      <w:spacing w:line="276" w:lineRule="auto"/>
      <w:ind w:left="1540"/>
    </w:pPr>
    <w:rPr>
      <w:rFonts w:cstheme="minorHAnsi"/>
      <w:color w:val="000000" w:themeColor="text1"/>
      <w:szCs w:val="20"/>
      <w:lang w:val="en-US"/>
    </w:rPr>
  </w:style>
  <w:style w:type="paragraph" w:styleId="Obsah9">
    <w:name w:val="toc 9"/>
    <w:basedOn w:val="Normln"/>
    <w:next w:val="Normln"/>
    <w:autoRedefine/>
    <w:uiPriority w:val="39"/>
    <w:unhideWhenUsed/>
    <w:rsid w:val="00AA298B"/>
    <w:pPr>
      <w:spacing w:line="276" w:lineRule="auto"/>
      <w:ind w:left="1760"/>
    </w:pPr>
    <w:rPr>
      <w:rFonts w:cstheme="minorHAnsi"/>
      <w:color w:val="000000" w:themeColor="text1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rsid w:val="000D45BF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lang w:val="en-US" w:eastAsia="ja-JP"/>
    </w:rPr>
  </w:style>
  <w:style w:type="character" w:styleId="Hypertextovodkaz">
    <w:name w:val="Hyperlink"/>
    <w:basedOn w:val="Standardnpsmoodstavce"/>
    <w:unhideWhenUsed/>
    <w:rsid w:val="00B373B8"/>
    <w:rPr>
      <w:color w:val="5BD8FF" w:themeColor="hyperlink"/>
      <w:u w:val="single"/>
    </w:rPr>
  </w:style>
  <w:style w:type="paragraph" w:customStyle="1" w:styleId="SenderInformation">
    <w:name w:val="Sender Information"/>
    <w:basedOn w:val="Normln"/>
    <w:qFormat/>
    <w:rsid w:val="006E18AB"/>
    <w:pPr>
      <w:spacing w:after="80" w:line="160" w:lineRule="exact"/>
    </w:pPr>
    <w:rPr>
      <w:color w:val="000000" w:themeColor="text1"/>
      <w:sz w:val="13"/>
      <w:szCs w:val="13"/>
      <w:lang w:val="en-US"/>
    </w:rPr>
  </w:style>
  <w:style w:type="character" w:customStyle="1" w:styleId="Nadpis4Char">
    <w:name w:val="Nadpis 4 Char"/>
    <w:basedOn w:val="Standardnpsmoodstavce"/>
    <w:link w:val="Nadpis4"/>
    <w:rsid w:val="007E7471"/>
    <w:rPr>
      <w:rFonts w:ascii="ABB Neue Helvetica Medium" w:eastAsiaTheme="majorEastAsia" w:hAnsi="ABB Neue Helvetica Medium" w:cstheme="majorBidi"/>
      <w:bCs/>
      <w:iCs/>
      <w:sz w:val="20"/>
    </w:rPr>
  </w:style>
  <w:style w:type="paragraph" w:customStyle="1" w:styleId="Documenttitels">
    <w:name w:val="Document titels"/>
    <w:basedOn w:val="Normln"/>
    <w:autoRedefine/>
    <w:qFormat/>
    <w:rsid w:val="00110B0E"/>
    <w:pPr>
      <w:tabs>
        <w:tab w:val="left" w:pos="-3780"/>
      </w:tabs>
      <w:spacing w:before="120" w:line="200" w:lineRule="atLeast"/>
      <w:ind w:right="-142"/>
    </w:pPr>
    <w:rPr>
      <w:rFonts w:eastAsia="Times New Roman" w:cs="Arial"/>
      <w:color w:val="000000"/>
      <w:sz w:val="22"/>
      <w:lang w:val="cs-CZ"/>
    </w:rPr>
  </w:style>
  <w:style w:type="paragraph" w:customStyle="1" w:styleId="Documentundertitles">
    <w:name w:val="Document undertitles"/>
    <w:basedOn w:val="Normln"/>
    <w:qFormat/>
    <w:rsid w:val="002B63AA"/>
    <w:pPr>
      <w:tabs>
        <w:tab w:val="left" w:pos="-3780"/>
      </w:tabs>
      <w:spacing w:before="240" w:after="120" w:line="240" w:lineRule="auto"/>
    </w:pPr>
    <w:rPr>
      <w:b/>
      <w:bCs/>
      <w:color w:val="005ADE" w:themeColor="accent1"/>
      <w:spacing w:val="6"/>
      <w:sz w:val="22"/>
      <w:szCs w:val="20"/>
      <w:lang w:val="en-US"/>
    </w:rPr>
  </w:style>
  <w:style w:type="paragraph" w:customStyle="1" w:styleId="Documentlists">
    <w:name w:val="Document lists"/>
    <w:basedOn w:val="Odstavecseseznamem"/>
    <w:qFormat/>
    <w:rsid w:val="00B8476D"/>
    <w:pPr>
      <w:numPr>
        <w:numId w:val="4"/>
      </w:numPr>
      <w:tabs>
        <w:tab w:val="left" w:pos="-3780"/>
      </w:tabs>
      <w:ind w:left="311" w:hanging="198"/>
    </w:pPr>
    <w:rPr>
      <w:sz w:val="18"/>
      <w:szCs w:val="18"/>
    </w:rPr>
  </w:style>
  <w:style w:type="character" w:styleId="Siln">
    <w:name w:val="Strong"/>
    <w:basedOn w:val="Standardnpsmoodstavce"/>
    <w:uiPriority w:val="22"/>
    <w:qFormat/>
    <w:rsid w:val="00C36C9A"/>
    <w:rPr>
      <w:b/>
      <w:bCs/>
    </w:rPr>
  </w:style>
  <w:style w:type="paragraph" w:customStyle="1" w:styleId="DocumentBold">
    <w:name w:val="Document Bold"/>
    <w:basedOn w:val="Documentundertitles"/>
    <w:qFormat/>
    <w:rsid w:val="00CA53ED"/>
    <w:pPr>
      <w:spacing w:before="200"/>
    </w:pPr>
    <w:rPr>
      <w:color w:val="auto"/>
      <w:sz w:val="18"/>
    </w:rPr>
  </w:style>
  <w:style w:type="paragraph" w:customStyle="1" w:styleId="TitlePresseRelease">
    <w:name w:val="Title Presse Release"/>
    <w:basedOn w:val="Normln"/>
    <w:qFormat/>
    <w:rsid w:val="00DF029E"/>
    <w:rPr>
      <w:color w:val="002897" w:themeColor="text2"/>
      <w:sz w:val="48"/>
    </w:rPr>
  </w:style>
  <w:style w:type="character" w:customStyle="1" w:styleId="Nadpis5Char">
    <w:name w:val="Nadpis 5 Char"/>
    <w:basedOn w:val="Standardnpsmoodstavce"/>
    <w:link w:val="Nadpis5"/>
    <w:rsid w:val="009E2BB7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9E2BB7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9E2BB7"/>
    <w:rPr>
      <w:rFonts w:ascii="Arial" w:eastAsia="Times New Roman" w:hAnsi="Arial" w:cs="Arial"/>
      <w:b/>
      <w:bCs/>
      <w:szCs w:val="24"/>
    </w:rPr>
  </w:style>
  <w:style w:type="character" w:styleId="slostrnky">
    <w:name w:val="page number"/>
    <w:rsid w:val="009E2BB7"/>
    <w:rPr>
      <w:rFonts w:ascii="Arial" w:hAnsi="Arial"/>
      <w:b/>
      <w:color w:val="000000"/>
      <w:sz w:val="20"/>
    </w:rPr>
  </w:style>
  <w:style w:type="paragraph" w:styleId="Zkladntext3">
    <w:name w:val="Body Text 3"/>
    <w:basedOn w:val="Normln"/>
    <w:link w:val="Zkladntext3Char"/>
    <w:rsid w:val="009E2BB7"/>
    <w:pPr>
      <w:autoSpaceDE w:val="0"/>
      <w:autoSpaceDN w:val="0"/>
      <w:adjustRightInd w:val="0"/>
      <w:spacing w:line="240" w:lineRule="atLeast"/>
    </w:pPr>
    <w:rPr>
      <w:rFonts w:ascii="Tms Rmn" w:eastAsia="Times New Roman" w:hAnsi="Tms Rmn" w:cs="Times New Roman"/>
      <w:sz w:val="14"/>
      <w:szCs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9E2BB7"/>
    <w:rPr>
      <w:rFonts w:ascii="Tms Rmn" w:eastAsia="Times New Roman" w:hAnsi="Tms Rmn" w:cs="Times New Roman"/>
      <w:sz w:val="14"/>
      <w:szCs w:val="20"/>
    </w:rPr>
  </w:style>
  <w:style w:type="paragraph" w:styleId="Zkladntext">
    <w:name w:val="Body Text"/>
    <w:basedOn w:val="Normln"/>
    <w:link w:val="ZkladntextChar"/>
    <w:rsid w:val="009E2BB7"/>
    <w:pPr>
      <w:spacing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E2BB7"/>
    <w:rPr>
      <w:rFonts w:ascii="ABB Neue Helvetica Light" w:eastAsia="Times New Roman" w:hAnsi="ABB Neue Helvetica Light" w:cs="Times New Roman"/>
      <w:color w:val="000000"/>
      <w:sz w:val="24"/>
      <w:szCs w:val="24"/>
    </w:rPr>
  </w:style>
  <w:style w:type="paragraph" w:customStyle="1" w:styleId="AddressBlock">
    <w:name w:val="Address Block"/>
    <w:basedOn w:val="Normln"/>
    <w:rsid w:val="009E2BB7"/>
    <w:pPr>
      <w:widowControl w:val="0"/>
      <w:tabs>
        <w:tab w:val="left" w:pos="252"/>
        <w:tab w:val="left" w:pos="4678"/>
      </w:tabs>
      <w:spacing w:line="240" w:lineRule="auto"/>
    </w:pPr>
    <w:rPr>
      <w:rFonts w:ascii="Arial" w:eastAsia="Times" w:hAnsi="Arial" w:cs="Times New Roman"/>
      <w:snapToGrid w:val="0"/>
      <w:szCs w:val="20"/>
      <w:lang w:val="en-GB" w:eastAsia="de-DE"/>
    </w:rPr>
  </w:style>
  <w:style w:type="character" w:styleId="Znakapoznpodarou">
    <w:name w:val="footnote reference"/>
    <w:semiHidden/>
    <w:rsid w:val="009E2BB7"/>
    <w:rPr>
      <w:rFonts w:ascii="Times" w:hAnsi="Times"/>
      <w:color w:val="000000"/>
      <w:sz w:val="20"/>
      <w:vertAlign w:val="superscript"/>
    </w:rPr>
  </w:style>
  <w:style w:type="paragraph" w:styleId="Zkladntext2">
    <w:name w:val="Body Text 2"/>
    <w:basedOn w:val="Normln"/>
    <w:link w:val="Zkladntext2Char"/>
    <w:rsid w:val="009E2BB7"/>
    <w:pPr>
      <w:tabs>
        <w:tab w:val="left" w:pos="252"/>
      </w:tabs>
      <w:spacing w:line="240" w:lineRule="auto"/>
    </w:pPr>
    <w:rPr>
      <w:rFonts w:ascii="Garamond" w:eastAsia="Times New Roman" w:hAnsi="Garamond" w:cs="Times New Roman"/>
      <w:sz w:val="24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9E2BB7"/>
    <w:rPr>
      <w:rFonts w:ascii="Garamond" w:eastAsia="Times New Roman" w:hAnsi="Garamond" w:cs="Times New Roman"/>
      <w:sz w:val="24"/>
      <w:szCs w:val="24"/>
    </w:rPr>
  </w:style>
  <w:style w:type="paragraph" w:styleId="Seznamsodrkami">
    <w:name w:val="List Bullet"/>
    <w:basedOn w:val="Normln"/>
    <w:rsid w:val="009E2BB7"/>
    <w:pPr>
      <w:tabs>
        <w:tab w:val="left" w:pos="252"/>
        <w:tab w:val="num" w:pos="926"/>
      </w:tabs>
      <w:spacing w:line="240" w:lineRule="auto"/>
      <w:ind w:left="249" w:hanging="249"/>
    </w:pPr>
    <w:rPr>
      <w:rFonts w:ascii="Times New Roman" w:eastAsia="Times New Roman" w:hAnsi="Times New Roman" w:cs="Times New Roman"/>
      <w:szCs w:val="24"/>
      <w:lang w:val="en-US"/>
    </w:rPr>
  </w:style>
  <w:style w:type="paragraph" w:styleId="Textpoznpodarou">
    <w:name w:val="footnote text"/>
    <w:basedOn w:val="Normln"/>
    <w:link w:val="TextpoznpodarouChar"/>
    <w:semiHidden/>
    <w:rsid w:val="009E2BB7"/>
    <w:pPr>
      <w:tabs>
        <w:tab w:val="left" w:pos="252"/>
      </w:tabs>
      <w:spacing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2BB7"/>
    <w:rPr>
      <w:rFonts w:ascii="Times New Roman" w:eastAsia="Times New Roman" w:hAnsi="Times New Roman" w:cs="Times New Roman"/>
      <w:sz w:val="18"/>
      <w:szCs w:val="20"/>
    </w:rPr>
  </w:style>
  <w:style w:type="paragraph" w:styleId="Normlnweb">
    <w:name w:val="Normal (Web)"/>
    <w:basedOn w:val="Normln"/>
    <w:uiPriority w:val="99"/>
    <w:rsid w:val="009E2BB7"/>
    <w:pPr>
      <w:spacing w:before="100" w:beforeAutospacing="1" w:after="100" w:afterAutospacing="1" w:line="240" w:lineRule="auto"/>
      <w:ind w:left="284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Sprechblasentext1">
    <w:name w:val="Sprechblasentext1"/>
    <w:basedOn w:val="Normln"/>
    <w:semiHidden/>
    <w:rsid w:val="009E2BB7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line">
    <w:name w:val="Headline"/>
    <w:next w:val="Nadpis1"/>
    <w:rsid w:val="009E2BB7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40"/>
      <w:szCs w:val="20"/>
      <w:lang w:val="en-GB"/>
    </w:rPr>
  </w:style>
  <w:style w:type="character" w:styleId="Odkaznakoment">
    <w:name w:val="annotation reference"/>
    <w:semiHidden/>
    <w:rsid w:val="009E2BB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E2BB7"/>
    <w:pPr>
      <w:spacing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9E2BB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E2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9E2BB7"/>
  </w:style>
  <w:style w:type="paragraph" w:styleId="Textvysvtlivek">
    <w:name w:val="endnote text"/>
    <w:basedOn w:val="Normln"/>
    <w:link w:val="TextvysvtlivekChar"/>
    <w:uiPriority w:val="99"/>
    <w:rsid w:val="009E2BB7"/>
    <w:pPr>
      <w:spacing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E2BB7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rsid w:val="009E2BB7"/>
    <w:rPr>
      <w:vertAlign w:val="superscript"/>
    </w:rPr>
  </w:style>
  <w:style w:type="paragraph" w:styleId="Revize">
    <w:name w:val="Revision"/>
    <w:hidden/>
    <w:uiPriority w:val="99"/>
    <w:semiHidden/>
    <w:rsid w:val="009E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E2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E2BB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c-text-align-right">
    <w:name w:val="nc-text-align-right"/>
    <w:basedOn w:val="Normln"/>
    <w:uiPriority w:val="99"/>
    <w:rsid w:val="0070533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BB_BLUE">
  <a:themeElements>
    <a:clrScheme name="ABB Vorlage 2010">
      <a:dk1>
        <a:srgbClr val="000000"/>
      </a:dk1>
      <a:lt1>
        <a:srgbClr val="FFFFFF"/>
      </a:lt1>
      <a:dk2>
        <a:srgbClr val="002897"/>
      </a:dk2>
      <a:lt2>
        <a:srgbClr val="666666"/>
      </a:lt2>
      <a:accent1>
        <a:srgbClr val="005ADE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5BD8FF"/>
      </a:hlink>
      <a:folHlink>
        <a:srgbClr val="999999"/>
      </a:folHlink>
    </a:clrScheme>
    <a:fontScheme name="ABB Vorlage 201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 w="9525"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indent="0" algn="ctr">
          <a:spcBef>
            <a:spcPts val="1100"/>
          </a:spcBef>
          <a:buClr>
            <a:schemeClr val="tx2"/>
          </a:buClr>
          <a:buSzPct val="70000"/>
          <a:buFont typeface="Wingdings" pitchFamily="2" charset="2"/>
          <a:buNone/>
          <a:defRPr sz="1600" dirty="0" err="1" smtClean="0">
            <a:solidFill>
              <a:schemeClr val="bg1"/>
            </a:solidFill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  <a:ln w="9525">
          <a:noFill/>
          <a:miter lim="800000"/>
          <a:headEnd/>
          <a:tailEnd/>
        </a:ln>
      </a:spPr>
      <a:bodyPr vert="horz" wrap="square" lIns="0" tIns="36000" rIns="0" bIns="0" numCol="1" rtlCol="0" anchor="t" anchorCtr="0" compatLnSpc="1">
        <a:prstTxWarp prst="textNoShape">
          <a:avLst/>
        </a:prstTxWarp>
        <a:noAutofit/>
      </a:bodyPr>
      <a:lstStyle>
        <a:defPPr marL="180975" indent="-180975" algn="l" rtl="0" fontAlgn="base">
          <a:spcBef>
            <a:spcPts val="1100"/>
          </a:spcBef>
          <a:spcAft>
            <a:spcPct val="0"/>
          </a:spcAft>
          <a:buClr>
            <a:schemeClr val="tx2"/>
          </a:buClr>
          <a:buSzPct val="70000"/>
          <a:buFont typeface="Arial" pitchFamily="34" charset="0"/>
          <a:buChar char="•"/>
          <a:defRPr sz="1600" kern="1200" dirty="0" err="1" smtClean="0">
            <a:solidFill>
              <a:schemeClr val="tx1"/>
            </a:solidFill>
            <a:latin typeface="Arial" pitchFamily="34" charset="0"/>
            <a:ea typeface="+mn-ea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535F-1C37-4C29-BB4C-CFFF2D73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2015-05-04T10:24:00Z</dcterms:created>
  <dcterms:modified xsi:type="dcterms:W3CDTF">2016-02-03T14:36:00Z</dcterms:modified>
</cp:coreProperties>
</file>